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bCs/>
          <w:sz w:val="44"/>
          <w:szCs w:val="44"/>
          <w:shd w:val="clear" w:color="auto" w:fill="FFFFFF"/>
        </w:rPr>
      </w:pPr>
      <w:r>
        <w:rPr>
          <w:rFonts w:hint="eastAsia" w:ascii="Times New Roman" w:hAnsi="Times New Roman" w:eastAsia="方正小标宋_GBK" w:cs="Times New Roman"/>
          <w:bCs/>
          <w:sz w:val="44"/>
          <w:szCs w:val="44"/>
          <w:shd w:val="clear" w:color="auto" w:fill="FFFFFF"/>
        </w:rPr>
        <w:t>南京市审计局</w:t>
      </w:r>
      <w:r>
        <w:rPr>
          <w:rFonts w:ascii="Times New Roman" w:hAnsi="Times New Roman" w:eastAsia="方正小标宋_GBK" w:cs="Times New Roman"/>
          <w:bCs/>
          <w:sz w:val="44"/>
          <w:szCs w:val="44"/>
          <w:shd w:val="clear" w:color="auto" w:fill="FFFFFF"/>
        </w:rPr>
        <w:t>2025</w:t>
      </w:r>
      <w:r>
        <w:rPr>
          <w:rFonts w:hint="eastAsia" w:ascii="Times New Roman" w:hAnsi="Times New Roman" w:eastAsia="方正小标宋_GBK" w:cs="Times New Roman"/>
          <w:bCs/>
          <w:sz w:val="44"/>
          <w:szCs w:val="44"/>
          <w:shd w:val="clear" w:color="auto" w:fill="FFFFFF"/>
        </w:rPr>
        <w:t>年政府信息公开工作</w:t>
      </w:r>
    </w:p>
    <w:p>
      <w:pPr>
        <w:spacing w:line="600" w:lineRule="exact"/>
        <w:jc w:val="center"/>
        <w:rPr>
          <w:rFonts w:ascii="Times New Roman" w:hAnsi="Times New Roman" w:eastAsia="方正小标宋_GBK" w:cs="Times New Roman"/>
          <w:bCs/>
          <w:sz w:val="44"/>
          <w:szCs w:val="44"/>
          <w:shd w:val="clear" w:color="auto" w:fill="FFFFFF"/>
        </w:rPr>
      </w:pPr>
      <w:r>
        <w:rPr>
          <w:rFonts w:hint="eastAsia" w:ascii="Times New Roman" w:hAnsi="Times New Roman" w:eastAsia="方正小标宋_GBK" w:cs="Times New Roman"/>
          <w:bCs/>
          <w:sz w:val="44"/>
          <w:szCs w:val="44"/>
          <w:shd w:val="clear" w:color="auto" w:fill="FFFFFF"/>
        </w:rPr>
        <w:t>年度报告</w:t>
      </w:r>
    </w:p>
    <w:p>
      <w:pPr>
        <w:rPr>
          <w:rFonts w:ascii="Times New Roman" w:hAnsi="Times New Roman" w:eastAsia="黑体" w:cs="Times New Roman"/>
          <w:szCs w:val="32"/>
          <w:shd w:val="clear" w:color="auto" w:fill="FFFFFF"/>
        </w:rPr>
      </w:pPr>
    </w:p>
    <w:p>
      <w:pPr>
        <w:ind w:firstLine="632" w:firstLineChars="200"/>
        <w:rPr>
          <w:rFonts w:ascii="Times New Roman" w:hAnsi="Times New Roman" w:eastAsia="仿宋" w:cs="Times New Roman"/>
          <w:szCs w:val="32"/>
        </w:rPr>
      </w:pPr>
      <w:r>
        <w:rPr>
          <w:rFonts w:hint="eastAsia" w:ascii="Times New Roman" w:hAnsi="仿宋" w:eastAsia="仿宋" w:cs="Times New Roman"/>
          <w:szCs w:val="32"/>
        </w:rPr>
        <w:t>根据《中华人民共和国政府信息公开条例》等文件要求和南京市审计局工作实际，经系统梳理我局</w:t>
      </w:r>
      <w:r>
        <w:rPr>
          <w:rFonts w:ascii="Times New Roman" w:hAnsi="Times New Roman" w:eastAsia="仿宋" w:cs="Times New Roman"/>
          <w:szCs w:val="32"/>
        </w:rPr>
        <w:t>2025</w:t>
      </w:r>
      <w:r>
        <w:rPr>
          <w:rFonts w:hint="eastAsia" w:ascii="Times New Roman" w:hAnsi="仿宋" w:eastAsia="仿宋" w:cs="Times New Roman"/>
          <w:szCs w:val="32"/>
        </w:rPr>
        <w:t>年度政府信息公开工作</w:t>
      </w:r>
      <w:r>
        <w:rPr>
          <w:rFonts w:ascii="Times New Roman" w:hAnsi="Times New Roman" w:eastAsia="仿宋" w:cs="Times New Roman"/>
          <w:szCs w:val="32"/>
        </w:rPr>
        <w:t>,</w:t>
      </w:r>
      <w:r>
        <w:rPr>
          <w:rFonts w:hint="eastAsia" w:ascii="Times New Roman" w:hAnsi="仿宋" w:eastAsia="仿宋" w:cs="Times New Roman"/>
          <w:szCs w:val="32"/>
        </w:rPr>
        <w:t>制定本报告。本报告通过南京市审计局门户网站（</w:t>
      </w:r>
      <w:r>
        <w:rPr>
          <w:rFonts w:ascii="Times New Roman" w:hAnsi="Times New Roman" w:eastAsia="仿宋" w:cs="Times New Roman"/>
          <w:szCs w:val="32"/>
        </w:rPr>
        <w:t>https://sjj.nanjing.gov.cn/</w:t>
      </w:r>
      <w:r>
        <w:rPr>
          <w:rFonts w:hint="eastAsia" w:ascii="Times New Roman" w:hAnsi="仿宋" w:eastAsia="仿宋" w:cs="Times New Roman"/>
          <w:szCs w:val="32"/>
        </w:rPr>
        <w:t>）发布。如对本报告有任何疑问和意见，请与南京市审计局办公室联系，联系地址：南京市玄武区北京东路</w:t>
      </w:r>
      <w:r>
        <w:rPr>
          <w:rFonts w:ascii="Times New Roman" w:hAnsi="Times New Roman" w:eastAsia="仿宋" w:cs="Times New Roman"/>
          <w:szCs w:val="32"/>
        </w:rPr>
        <w:t>18</w:t>
      </w:r>
      <w:r>
        <w:rPr>
          <w:rFonts w:hint="eastAsia" w:ascii="Times New Roman" w:hAnsi="仿宋" w:eastAsia="仿宋" w:cs="Times New Roman"/>
          <w:szCs w:val="32"/>
        </w:rPr>
        <w:t>号；电话：</w:t>
      </w:r>
      <w:r>
        <w:rPr>
          <w:rFonts w:ascii="Times New Roman" w:hAnsi="Times New Roman" w:eastAsia="仿宋" w:cs="Times New Roman"/>
          <w:szCs w:val="32"/>
        </w:rPr>
        <w:t>025-57714481</w:t>
      </w:r>
      <w:r>
        <w:rPr>
          <w:rFonts w:hint="eastAsia" w:ascii="Times New Roman" w:hAnsi="仿宋" w:eastAsia="仿宋" w:cs="Times New Roman"/>
          <w:szCs w:val="32"/>
        </w:rPr>
        <w:t>。</w:t>
      </w:r>
    </w:p>
    <w:p>
      <w:pPr>
        <w:ind w:firstLine="632" w:firstLineChars="200"/>
        <w:rPr>
          <w:rFonts w:ascii="Times New Roman" w:hAnsi="Times New Roman" w:eastAsia="黑体" w:cs="Times New Roman"/>
          <w:szCs w:val="32"/>
          <w:shd w:val="clear" w:color="auto" w:fill="FFFFFF"/>
        </w:rPr>
      </w:pPr>
      <w:r>
        <w:rPr>
          <w:rFonts w:hint="eastAsia" w:ascii="Times New Roman" w:hAnsi="黑体" w:eastAsia="黑体" w:cs="Times New Roman"/>
          <w:szCs w:val="32"/>
          <w:shd w:val="clear" w:color="auto" w:fill="FFFFFF"/>
        </w:rPr>
        <w:t>一、总体情况</w:t>
      </w:r>
    </w:p>
    <w:p>
      <w:pPr>
        <w:ind w:firstLine="632" w:firstLineChars="200"/>
        <w:rPr>
          <w:rFonts w:ascii="Times New Roman" w:hAnsi="Times New Roman" w:eastAsia="仿宋" w:cs="Times New Roman"/>
          <w:color w:val="auto"/>
          <w:szCs w:val="32"/>
        </w:rPr>
      </w:pPr>
      <w:r>
        <w:rPr>
          <w:rFonts w:hint="eastAsia" w:ascii="Times New Roman" w:hAnsi="仿宋" w:eastAsia="仿宋" w:cs="Times New Roman"/>
          <w:szCs w:val="32"/>
          <w:lang w:eastAsia="zh-CN"/>
        </w:rPr>
        <w:t>一</w:t>
      </w:r>
      <w:r>
        <w:rPr>
          <w:rFonts w:hint="eastAsia" w:ascii="Times New Roman" w:hAnsi="仿宋" w:eastAsia="仿宋" w:cs="Times New Roman"/>
          <w:szCs w:val="32"/>
        </w:rPr>
        <w:t>年来，南京市审计局始终坚持以习近平新时代中国特色社会主义思想为指导，严格按照《中华人民共和国政府信息公开条例》和南京市有关政府网站</w:t>
      </w:r>
      <w:r>
        <w:rPr>
          <w:rFonts w:hint="eastAsia" w:ascii="Times New Roman" w:hAnsi="仿宋" w:eastAsia="仿宋" w:cs="Times New Roman"/>
          <w:szCs w:val="32"/>
          <w:lang w:eastAsia="zh-CN"/>
        </w:rPr>
        <w:t>和</w:t>
      </w:r>
      <w:r>
        <w:rPr>
          <w:rFonts w:hint="eastAsia" w:ascii="Times New Roman" w:hAnsi="仿宋" w:eastAsia="仿宋" w:cs="Times New Roman"/>
          <w:szCs w:val="32"/>
        </w:rPr>
        <w:t>政务新媒体评估指标要求，紧密结合审计工作实际，充分运用门户网站、官方微信等平台，共发布各类审计信息</w:t>
      </w:r>
      <w:r>
        <w:rPr>
          <w:rFonts w:ascii="Times New Roman" w:hAnsi="Times New Roman" w:eastAsia="仿宋" w:cs="Times New Roman"/>
          <w:szCs w:val="32"/>
        </w:rPr>
        <w:t>811</w:t>
      </w:r>
      <w:r>
        <w:rPr>
          <w:rFonts w:hint="eastAsia" w:ascii="Times New Roman" w:hAnsi="仿宋" w:eastAsia="仿宋" w:cs="Times New Roman"/>
          <w:szCs w:val="32"/>
        </w:rPr>
        <w:t>条。其中，门户网站发布信息</w:t>
      </w:r>
      <w:r>
        <w:rPr>
          <w:rFonts w:ascii="Times New Roman" w:hAnsi="Times New Roman" w:eastAsia="仿宋" w:cs="Times New Roman"/>
          <w:szCs w:val="32"/>
        </w:rPr>
        <w:t>604</w:t>
      </w:r>
      <w:r>
        <w:rPr>
          <w:rFonts w:hint="eastAsia" w:ascii="Times New Roman" w:hAnsi="仿宋" w:eastAsia="仿宋" w:cs="Times New Roman"/>
          <w:szCs w:val="32"/>
        </w:rPr>
        <w:t>条</w:t>
      </w:r>
      <w:r>
        <w:rPr>
          <w:rFonts w:ascii="Times New Roman" w:hAnsi="Times New Roman" w:eastAsia="仿宋" w:cs="Times New Roman"/>
          <w:szCs w:val="32"/>
        </w:rPr>
        <w:t>,“</w:t>
      </w:r>
      <w:r>
        <w:rPr>
          <w:rFonts w:hint="eastAsia" w:ascii="Times New Roman" w:hAnsi="仿宋" w:eastAsia="仿宋" w:cs="Times New Roman"/>
          <w:szCs w:val="32"/>
        </w:rPr>
        <w:t>政府信息公开</w:t>
      </w:r>
      <w:r>
        <w:rPr>
          <w:rFonts w:ascii="Times New Roman" w:hAnsi="Times New Roman" w:eastAsia="仿宋" w:cs="Times New Roman"/>
          <w:szCs w:val="32"/>
        </w:rPr>
        <w:t>”</w:t>
      </w:r>
      <w:r>
        <w:rPr>
          <w:rFonts w:hint="eastAsia" w:ascii="Times New Roman" w:hAnsi="仿宋" w:eastAsia="仿宋" w:cs="Times New Roman"/>
          <w:szCs w:val="32"/>
        </w:rPr>
        <w:t>专栏主动公开信息</w:t>
      </w:r>
      <w:r>
        <w:rPr>
          <w:rFonts w:ascii="Times New Roman" w:hAnsi="Times New Roman" w:eastAsia="仿宋" w:cs="Times New Roman"/>
          <w:szCs w:val="32"/>
        </w:rPr>
        <w:t>29</w:t>
      </w:r>
      <w:r>
        <w:rPr>
          <w:rFonts w:hint="eastAsia" w:ascii="Times New Roman" w:hAnsi="仿宋" w:eastAsia="仿宋" w:cs="Times New Roman"/>
          <w:szCs w:val="32"/>
        </w:rPr>
        <w:t>条</w:t>
      </w:r>
      <w:r>
        <w:rPr>
          <w:rFonts w:ascii="Times New Roman" w:hAnsi="Times New Roman" w:eastAsia="仿宋" w:cs="Times New Roman"/>
          <w:szCs w:val="32"/>
        </w:rPr>
        <w:t>,</w:t>
      </w:r>
      <w:r>
        <w:rPr>
          <w:rFonts w:hint="eastAsia" w:ascii="Times New Roman" w:hAnsi="仿宋" w:eastAsia="仿宋" w:cs="Times New Roman"/>
          <w:szCs w:val="32"/>
        </w:rPr>
        <w:t>官方微信平台发布信息</w:t>
      </w:r>
      <w:r>
        <w:rPr>
          <w:rFonts w:ascii="Times New Roman" w:hAnsi="Times New Roman" w:eastAsia="仿宋" w:cs="Times New Roman"/>
          <w:szCs w:val="32"/>
        </w:rPr>
        <w:t>147</w:t>
      </w:r>
      <w:r>
        <w:rPr>
          <w:rFonts w:hint="eastAsia" w:ascii="Times New Roman" w:hAnsi="仿宋" w:eastAsia="仿宋" w:cs="Times New Roman"/>
          <w:szCs w:val="32"/>
        </w:rPr>
        <w:t>期</w:t>
      </w:r>
      <w:r>
        <w:rPr>
          <w:rFonts w:ascii="Times New Roman" w:hAnsi="Times New Roman" w:eastAsia="仿宋" w:cs="Times New Roman"/>
          <w:szCs w:val="32"/>
        </w:rPr>
        <w:t>178</w:t>
      </w:r>
      <w:r>
        <w:rPr>
          <w:rFonts w:hint="eastAsia" w:ascii="Times New Roman" w:hAnsi="仿宋" w:eastAsia="仿宋" w:cs="Times New Roman"/>
          <w:szCs w:val="32"/>
        </w:rPr>
        <w:t>条。通过信息发布</w:t>
      </w:r>
      <w:r>
        <w:rPr>
          <w:rFonts w:hint="eastAsia" w:ascii="Times New Roman" w:hAnsi="仿宋" w:eastAsia="仿宋" w:cs="Times New Roman"/>
          <w:color w:val="auto"/>
          <w:szCs w:val="32"/>
        </w:rPr>
        <w:t>，不断加强审计工作宣传力度，为依法履行审计监督职责营造了良好的舆论氛围和社会环境。全年共收到</w:t>
      </w:r>
      <w:r>
        <w:rPr>
          <w:rFonts w:ascii="Times New Roman" w:hAnsi="Times New Roman" w:eastAsia="仿宋" w:cs="Times New Roman"/>
          <w:color w:val="auto"/>
          <w:szCs w:val="32"/>
        </w:rPr>
        <w:t>“</w:t>
      </w:r>
      <w:r>
        <w:rPr>
          <w:rFonts w:hint="eastAsia" w:ascii="Times New Roman" w:hAnsi="仿宋" w:eastAsia="仿宋" w:cs="Times New Roman"/>
          <w:color w:val="auto"/>
          <w:szCs w:val="32"/>
        </w:rPr>
        <w:t>局长信箱</w:t>
      </w:r>
      <w:r>
        <w:rPr>
          <w:rFonts w:ascii="Times New Roman" w:hAnsi="Times New Roman" w:eastAsia="仿宋" w:cs="Times New Roman"/>
          <w:color w:val="auto"/>
          <w:szCs w:val="32"/>
        </w:rPr>
        <w:t>”</w:t>
      </w:r>
      <w:r>
        <w:rPr>
          <w:rFonts w:hint="eastAsia" w:ascii="Times New Roman" w:hAnsi="仿宋" w:eastAsia="仿宋" w:cs="Times New Roman"/>
          <w:color w:val="auto"/>
          <w:szCs w:val="32"/>
        </w:rPr>
        <w:t>来信</w:t>
      </w:r>
      <w:r>
        <w:rPr>
          <w:rFonts w:ascii="Times New Roman" w:hAnsi="Times New Roman" w:eastAsia="仿宋" w:cs="Times New Roman"/>
          <w:color w:val="auto"/>
          <w:szCs w:val="32"/>
        </w:rPr>
        <w:t>18</w:t>
      </w:r>
      <w:r>
        <w:rPr>
          <w:rFonts w:hint="eastAsia" w:ascii="Times New Roman" w:hAnsi="仿宋" w:eastAsia="仿宋" w:cs="Times New Roman"/>
          <w:color w:val="auto"/>
          <w:szCs w:val="32"/>
        </w:rPr>
        <w:t>件、</w:t>
      </w:r>
      <w:r>
        <w:rPr>
          <w:rFonts w:ascii="Times New Roman" w:hAnsi="Times New Roman" w:eastAsia="仿宋" w:cs="Times New Roman"/>
          <w:color w:val="auto"/>
          <w:szCs w:val="32"/>
        </w:rPr>
        <w:t>“</w:t>
      </w:r>
      <w:r>
        <w:rPr>
          <w:rFonts w:hint="eastAsia" w:ascii="Times New Roman" w:hAnsi="仿宋" w:eastAsia="仿宋" w:cs="Times New Roman"/>
          <w:color w:val="auto"/>
          <w:szCs w:val="32"/>
        </w:rPr>
        <w:t>网上咨询</w:t>
      </w:r>
      <w:r>
        <w:rPr>
          <w:rFonts w:ascii="Times New Roman" w:hAnsi="Times New Roman" w:eastAsia="仿宋" w:cs="Times New Roman"/>
          <w:color w:val="auto"/>
          <w:szCs w:val="32"/>
        </w:rPr>
        <w:t>”14</w:t>
      </w:r>
      <w:r>
        <w:rPr>
          <w:rFonts w:hint="eastAsia" w:ascii="Times New Roman" w:hAnsi="仿宋" w:eastAsia="仿宋" w:cs="Times New Roman"/>
          <w:color w:val="auto"/>
          <w:szCs w:val="32"/>
        </w:rPr>
        <w:t>件，全部按时答复。</w:t>
      </w:r>
    </w:p>
    <w:p>
      <w:pPr>
        <w:ind w:firstLine="632" w:firstLineChars="200"/>
        <w:rPr>
          <w:rFonts w:ascii="Times New Roman" w:hAnsi="Times New Roman" w:eastAsia="仿宋" w:cs="Times New Roman"/>
          <w:szCs w:val="32"/>
        </w:rPr>
      </w:pPr>
      <w:r>
        <w:rPr>
          <w:rFonts w:hint="eastAsia" w:ascii="Times New Roman" w:hAnsi="楷体" w:eastAsia="楷体" w:cs="Times New Roman"/>
          <w:color w:val="auto"/>
          <w:szCs w:val="32"/>
          <w:shd w:val="clear" w:color="auto" w:fill="FFFFFF"/>
        </w:rPr>
        <w:t>（一）主动公开推进情况。</w:t>
      </w:r>
      <w:r>
        <w:rPr>
          <w:rFonts w:hint="eastAsia" w:ascii="Times New Roman" w:hAnsi="仿宋" w:eastAsia="仿宋" w:cs="Times New Roman"/>
          <w:color w:val="auto"/>
          <w:szCs w:val="32"/>
        </w:rPr>
        <w:t>按照市财政局统一要求，及时推进法定内容公开</w:t>
      </w:r>
      <w:r>
        <w:rPr>
          <w:rFonts w:ascii="Times New Roman" w:hAnsi="Times New Roman" w:eastAsia="仿宋" w:cs="Times New Roman"/>
          <w:color w:val="auto"/>
          <w:szCs w:val="32"/>
        </w:rPr>
        <w:t>,</w:t>
      </w:r>
      <w:r>
        <w:rPr>
          <w:rFonts w:hint="eastAsia" w:ascii="Times New Roman" w:hAnsi="仿宋" w:eastAsia="仿宋" w:cs="Times New Roman"/>
          <w:color w:val="auto"/>
          <w:szCs w:val="32"/>
        </w:rPr>
        <w:t>主要包括本级及所属政府投资</w:t>
      </w:r>
      <w:r>
        <w:rPr>
          <w:rFonts w:hint="eastAsia" w:ascii="Times New Roman" w:hAnsi="仿宋" w:eastAsia="仿宋" w:cs="Times New Roman"/>
          <w:szCs w:val="32"/>
        </w:rPr>
        <w:t>项目审计中心预算、决算、绩效自评价报告等相关信息。根据局领导职务变更情况，及时更新领导信息</w:t>
      </w:r>
      <w:r>
        <w:rPr>
          <w:rFonts w:ascii="Times New Roman" w:hAnsi="Times New Roman" w:eastAsia="仿宋" w:cs="Times New Roman"/>
          <w:szCs w:val="32"/>
        </w:rPr>
        <w:t>1</w:t>
      </w:r>
      <w:r>
        <w:rPr>
          <w:rFonts w:hint="eastAsia" w:ascii="Times New Roman" w:hAnsi="仿宋" w:eastAsia="仿宋" w:cs="Times New Roman"/>
          <w:szCs w:val="32"/>
        </w:rPr>
        <w:t>次，发布处级干部职务任免通知</w:t>
      </w:r>
      <w:r>
        <w:rPr>
          <w:rFonts w:ascii="Times New Roman" w:hAnsi="Times New Roman" w:eastAsia="仿宋" w:cs="Times New Roman"/>
          <w:szCs w:val="32"/>
        </w:rPr>
        <w:t>3</w:t>
      </w:r>
      <w:r>
        <w:rPr>
          <w:rFonts w:hint="eastAsia" w:ascii="Times New Roman" w:hAnsi="仿宋" w:eastAsia="仿宋" w:cs="Times New Roman"/>
          <w:szCs w:val="32"/>
        </w:rPr>
        <w:t>次，发布所属事业单位公开招聘招信息</w:t>
      </w:r>
      <w:r>
        <w:rPr>
          <w:rFonts w:ascii="Times New Roman" w:hAnsi="Times New Roman" w:eastAsia="仿宋" w:cs="Times New Roman"/>
          <w:szCs w:val="32"/>
        </w:rPr>
        <w:t>3</w:t>
      </w:r>
      <w:r>
        <w:rPr>
          <w:rFonts w:hint="eastAsia" w:ascii="Times New Roman" w:hAnsi="仿宋" w:eastAsia="仿宋" w:cs="Times New Roman"/>
          <w:szCs w:val="32"/>
        </w:rPr>
        <w:t>次。公布政府行政权力事项目录，公示行政执法主体及行政执法人员情况，强化履职信息公开，主动接受社会监督。适时发布</w:t>
      </w:r>
      <w:r>
        <w:rPr>
          <w:rFonts w:ascii="Times New Roman" w:hAnsi="Times New Roman" w:eastAsia="仿宋" w:cs="Times New Roman"/>
          <w:szCs w:val="32"/>
        </w:rPr>
        <w:t>2024</w:t>
      </w:r>
      <w:r>
        <w:rPr>
          <w:rFonts w:hint="eastAsia" w:ascii="Times New Roman" w:hAnsi="仿宋" w:eastAsia="仿宋" w:cs="Times New Roman"/>
          <w:szCs w:val="32"/>
        </w:rPr>
        <w:t>年度市级预算执行和其他财政收支情况审计结果，并对报告进行了深入解读。</w:t>
      </w:r>
    </w:p>
    <w:p>
      <w:pPr>
        <w:ind w:firstLine="632" w:firstLineChars="200"/>
        <w:rPr>
          <w:rFonts w:ascii="Times New Roman" w:hAnsi="Times New Roman" w:eastAsia="仿宋" w:cs="Times New Roman"/>
          <w:color w:val="auto"/>
          <w:szCs w:val="32"/>
        </w:rPr>
      </w:pPr>
      <w:r>
        <w:rPr>
          <w:rFonts w:hint="eastAsia" w:ascii="Times New Roman" w:hAnsi="楷体" w:eastAsia="楷体" w:cs="Times New Roman"/>
          <w:color w:val="auto"/>
          <w:szCs w:val="32"/>
          <w:shd w:val="clear" w:color="auto" w:fill="FFFFFF"/>
        </w:rPr>
        <w:t>（二）依申请公开办理情况。</w:t>
      </w:r>
      <w:r>
        <w:rPr>
          <w:rFonts w:hint="eastAsia" w:ascii="Times New Roman" w:hAnsi="仿宋" w:eastAsia="仿宋" w:cs="Times New Roman"/>
          <w:color w:val="auto"/>
          <w:szCs w:val="32"/>
        </w:rPr>
        <w:t>规范做好依申请公开各项工作，依法保障群众合理的信息需求。全年共收到政府信息公开申请</w:t>
      </w:r>
      <w:r>
        <w:rPr>
          <w:rFonts w:ascii="Times New Roman" w:hAnsi="Times New Roman" w:eastAsia="仿宋" w:cs="Times New Roman"/>
          <w:color w:val="auto"/>
          <w:szCs w:val="32"/>
        </w:rPr>
        <w:t>14</w:t>
      </w:r>
      <w:r>
        <w:rPr>
          <w:rFonts w:hint="eastAsia" w:ascii="Times New Roman" w:hAnsi="仿宋" w:eastAsia="仿宋" w:cs="Times New Roman"/>
          <w:color w:val="auto"/>
          <w:szCs w:val="32"/>
        </w:rPr>
        <w:t>件，依法依规办结</w:t>
      </w:r>
      <w:r>
        <w:rPr>
          <w:rFonts w:ascii="Times New Roman" w:hAnsi="Times New Roman" w:eastAsia="仿宋" w:cs="Times New Roman"/>
          <w:color w:val="auto"/>
          <w:szCs w:val="32"/>
        </w:rPr>
        <w:t>1</w:t>
      </w:r>
      <w:r>
        <w:rPr>
          <w:rFonts w:hint="eastAsia" w:ascii="Times New Roman" w:hAnsi="Times New Roman" w:eastAsia="仿宋" w:cs="Times New Roman"/>
          <w:color w:val="auto"/>
          <w:szCs w:val="32"/>
          <w:lang w:val="en-US" w:eastAsia="zh-CN"/>
        </w:rPr>
        <w:t>4</w:t>
      </w:r>
      <w:r>
        <w:rPr>
          <w:rFonts w:hint="eastAsia" w:ascii="Times New Roman" w:hAnsi="仿宋" w:eastAsia="仿宋" w:cs="Times New Roman"/>
          <w:color w:val="auto"/>
          <w:szCs w:val="32"/>
        </w:rPr>
        <w:t>件</w:t>
      </w:r>
      <w:r>
        <w:rPr>
          <w:rFonts w:hint="eastAsia" w:ascii="Times New Roman" w:hAnsi="仿宋" w:eastAsia="仿宋" w:cs="Times New Roman"/>
          <w:color w:val="auto"/>
          <w:szCs w:val="32"/>
          <w:lang w:eastAsia="zh-CN"/>
        </w:rPr>
        <w:t>。</w:t>
      </w:r>
      <w:r>
        <w:rPr>
          <w:rFonts w:ascii="Times New Roman" w:hAnsi="Times New Roman" w:eastAsia="仿宋" w:cs="Times New Roman"/>
          <w:color w:val="auto"/>
          <w:szCs w:val="32"/>
        </w:rPr>
        <w:t>1</w:t>
      </w:r>
      <w:r>
        <w:rPr>
          <w:rFonts w:hint="eastAsia" w:ascii="Times New Roman" w:hAnsi="仿宋" w:eastAsia="仿宋" w:cs="Times New Roman"/>
          <w:color w:val="auto"/>
          <w:szCs w:val="32"/>
        </w:rPr>
        <w:t>件政府信息公开</w:t>
      </w:r>
      <w:bookmarkStart w:id="0" w:name="OLE_LINK1"/>
      <w:r>
        <w:rPr>
          <w:rFonts w:hint="eastAsia" w:ascii="Times New Roman" w:hAnsi="仿宋" w:eastAsia="仿宋" w:cs="Times New Roman"/>
          <w:color w:val="auto"/>
          <w:szCs w:val="32"/>
        </w:rPr>
        <w:t>申请</w:t>
      </w:r>
      <w:bookmarkEnd w:id="0"/>
      <w:r>
        <w:rPr>
          <w:rFonts w:hint="eastAsia" w:ascii="Times New Roman" w:hAnsi="仿宋" w:eastAsia="仿宋" w:cs="Times New Roman"/>
          <w:color w:val="auto"/>
          <w:szCs w:val="32"/>
        </w:rPr>
        <w:t>被申请行政复议，复议结果是维持。全年没有政府信息公开举报、投诉情况。</w:t>
      </w:r>
    </w:p>
    <w:p>
      <w:pPr>
        <w:pStyle w:val="5"/>
        <w:widowControl/>
        <w:shd w:val="clear" w:color="auto" w:fill="FFFFFF"/>
        <w:spacing w:beforeAutospacing="0" w:afterAutospacing="0"/>
        <w:ind w:firstLine="632" w:firstLineChars="200"/>
        <w:jc w:val="both"/>
        <w:rPr>
          <w:rFonts w:ascii="Times New Roman" w:hAnsi="Times New Roman" w:eastAsia="仿宋" w:cs="Times New Roman"/>
          <w:kern w:val="2"/>
          <w:sz w:val="32"/>
          <w:szCs w:val="32"/>
        </w:rPr>
      </w:pPr>
      <w:r>
        <w:rPr>
          <w:rFonts w:hint="eastAsia" w:ascii="Times New Roman" w:hAnsi="楷体" w:eastAsia="楷体" w:cs="Times New Roman"/>
          <w:kern w:val="2"/>
          <w:sz w:val="32"/>
          <w:szCs w:val="32"/>
        </w:rPr>
        <w:t>（三）政府信息管理情况。</w:t>
      </w:r>
      <w:r>
        <w:rPr>
          <w:rFonts w:hint="eastAsia" w:ascii="Times New Roman" w:hAnsi="仿宋" w:eastAsia="仿宋" w:cs="Times New Roman"/>
          <w:kern w:val="2"/>
          <w:sz w:val="32"/>
          <w:szCs w:val="32"/>
        </w:rPr>
        <w:t>严格执行信息发布四级审查制度，进一步强化落实网络意识形态工作责任和安全保密工作责任，不断提高信息发布质量水平。突出内容建设和形式创新，围绕重点工作和重大任务，有针对性地制作图文、视频等新媒体产品，有效增强信息发布的效果。</w:t>
      </w:r>
    </w:p>
    <w:p>
      <w:pPr>
        <w:pStyle w:val="5"/>
        <w:widowControl/>
        <w:shd w:val="clear" w:color="auto" w:fill="FFFFFF"/>
        <w:spacing w:beforeAutospacing="0" w:afterAutospacing="0"/>
        <w:ind w:firstLine="632" w:firstLineChars="200"/>
        <w:jc w:val="both"/>
        <w:rPr>
          <w:rFonts w:hint="eastAsia" w:ascii="Times New Roman" w:hAnsi="仿宋" w:eastAsia="仿宋" w:cs="Times New Roman"/>
          <w:kern w:val="2"/>
          <w:sz w:val="32"/>
          <w:szCs w:val="32"/>
          <w:lang w:eastAsia="zh-CN"/>
        </w:rPr>
      </w:pPr>
      <w:r>
        <w:rPr>
          <w:rFonts w:hint="eastAsia" w:ascii="Times New Roman" w:hAnsi="楷体" w:eastAsia="楷体" w:cs="Times New Roman"/>
          <w:kern w:val="2"/>
          <w:sz w:val="32"/>
          <w:szCs w:val="32"/>
        </w:rPr>
        <w:t>（四）平台建设情况。</w:t>
      </w:r>
      <w:r>
        <w:rPr>
          <w:rFonts w:hint="eastAsia" w:ascii="Times New Roman" w:hAnsi="仿宋" w:eastAsia="仿宋" w:cs="Times New Roman"/>
          <w:kern w:val="2"/>
          <w:sz w:val="32"/>
          <w:szCs w:val="32"/>
          <w:lang w:eastAsia="zh-CN"/>
        </w:rPr>
        <w:t>认真</w:t>
      </w:r>
      <w:r>
        <w:rPr>
          <w:rFonts w:hint="eastAsia" w:ascii="Times New Roman" w:hAnsi="仿宋" w:eastAsia="仿宋" w:cs="Times New Roman"/>
          <w:kern w:val="2"/>
          <w:sz w:val="32"/>
          <w:szCs w:val="32"/>
        </w:rPr>
        <w:t>对照</w:t>
      </w:r>
      <w:r>
        <w:rPr>
          <w:rFonts w:hint="eastAsia" w:ascii="Times New Roman" w:hAnsi="仿宋" w:eastAsia="仿宋" w:cs="Times New Roman"/>
          <w:kern w:val="2"/>
          <w:sz w:val="32"/>
          <w:szCs w:val="32"/>
          <w:lang w:eastAsia="zh-CN"/>
        </w:rPr>
        <w:t>市</w:t>
      </w:r>
      <w:r>
        <w:rPr>
          <w:rFonts w:hint="eastAsia" w:ascii="Times New Roman" w:hAnsi="仿宋" w:eastAsia="仿宋" w:cs="Times New Roman"/>
          <w:kern w:val="2"/>
          <w:sz w:val="32"/>
          <w:szCs w:val="32"/>
        </w:rPr>
        <w:t>政府网站与政务新媒体检查指标</w:t>
      </w:r>
      <w:r>
        <w:rPr>
          <w:rFonts w:hint="eastAsia" w:ascii="Times New Roman" w:hAnsi="仿宋" w:eastAsia="仿宋" w:cs="Times New Roman"/>
          <w:kern w:val="2"/>
          <w:sz w:val="32"/>
          <w:szCs w:val="32"/>
          <w:lang w:eastAsia="zh-CN"/>
        </w:rPr>
        <w:t>要求</w:t>
      </w:r>
      <w:r>
        <w:rPr>
          <w:rFonts w:hint="eastAsia" w:ascii="Times New Roman" w:hAnsi="仿宋" w:eastAsia="仿宋" w:cs="Times New Roman"/>
          <w:kern w:val="2"/>
          <w:sz w:val="32"/>
          <w:szCs w:val="32"/>
        </w:rPr>
        <w:t>，</w:t>
      </w:r>
      <w:r>
        <w:rPr>
          <w:rFonts w:hint="eastAsia" w:ascii="Times New Roman" w:hAnsi="仿宋" w:eastAsia="仿宋" w:cs="Times New Roman"/>
          <w:kern w:val="2"/>
          <w:sz w:val="32"/>
          <w:szCs w:val="32"/>
          <w:lang w:eastAsia="zh-CN"/>
        </w:rPr>
        <w:t>安排专人定期</w:t>
      </w:r>
      <w:r>
        <w:rPr>
          <w:rFonts w:hint="eastAsia" w:ascii="Times New Roman" w:hAnsi="仿宋" w:eastAsia="仿宋" w:cs="Times New Roman"/>
          <w:kern w:val="2"/>
          <w:sz w:val="32"/>
          <w:szCs w:val="32"/>
        </w:rPr>
        <w:t>对</w:t>
      </w:r>
      <w:r>
        <w:rPr>
          <w:rFonts w:hint="eastAsia" w:ascii="Times New Roman" w:hAnsi="仿宋" w:eastAsia="仿宋" w:cs="Times New Roman"/>
          <w:kern w:val="2"/>
          <w:sz w:val="32"/>
          <w:szCs w:val="32"/>
          <w:lang w:eastAsia="zh-CN"/>
        </w:rPr>
        <w:t>局</w:t>
      </w:r>
      <w:r>
        <w:rPr>
          <w:rFonts w:hint="eastAsia" w:ascii="Times New Roman" w:hAnsi="仿宋" w:eastAsia="仿宋" w:cs="Times New Roman"/>
          <w:kern w:val="2"/>
          <w:sz w:val="32"/>
          <w:szCs w:val="32"/>
        </w:rPr>
        <w:t>门户网站、官方微信平台</w:t>
      </w:r>
      <w:r>
        <w:rPr>
          <w:rFonts w:hint="eastAsia" w:ascii="Times New Roman" w:hAnsi="仿宋" w:eastAsia="仿宋" w:cs="Times New Roman"/>
          <w:kern w:val="2"/>
          <w:sz w:val="32"/>
          <w:szCs w:val="32"/>
          <w:lang w:eastAsia="zh-CN"/>
        </w:rPr>
        <w:t>的发布内容进行检查，重点查纠是否存在错漏字、无效链接等问题错误。以防范和处置网页篡改、漏洞攻击和网络病毒暴发等为主要内容，</w:t>
      </w:r>
      <w:bookmarkStart w:id="1" w:name="OLE_LINK2"/>
      <w:r>
        <w:rPr>
          <w:rFonts w:hint="eastAsia" w:ascii="Times New Roman" w:hAnsi="仿宋" w:eastAsia="仿宋" w:cs="Times New Roman"/>
          <w:kern w:val="2"/>
          <w:sz w:val="32"/>
          <w:szCs w:val="32"/>
          <w:lang w:eastAsia="zh-CN"/>
        </w:rPr>
        <w:t>组织开展网络信息安全应急演练，进一步提升应急处置能力和水平</w:t>
      </w:r>
      <w:bookmarkEnd w:id="1"/>
      <w:r>
        <w:rPr>
          <w:rFonts w:hint="eastAsia" w:ascii="Times New Roman" w:hAnsi="仿宋" w:eastAsia="仿宋" w:cs="Times New Roman"/>
          <w:kern w:val="2"/>
          <w:sz w:val="32"/>
          <w:szCs w:val="32"/>
          <w:lang w:eastAsia="zh-CN"/>
        </w:rPr>
        <w:t>。加强用户账号管理，按照时限要求修改密码，确保账号安全。</w:t>
      </w:r>
    </w:p>
    <w:p>
      <w:pPr>
        <w:pStyle w:val="5"/>
        <w:widowControl/>
        <w:shd w:val="clear" w:color="auto" w:fill="FFFFFF"/>
        <w:spacing w:beforeAutospacing="0" w:afterAutospacing="0"/>
        <w:ind w:firstLine="632" w:firstLineChars="200"/>
        <w:jc w:val="both"/>
        <w:rPr>
          <w:rFonts w:ascii="Times New Roman" w:hAnsi="Times New Roman" w:eastAsia="仿宋" w:cs="Times New Roman"/>
          <w:sz w:val="32"/>
          <w:szCs w:val="32"/>
        </w:rPr>
      </w:pPr>
      <w:r>
        <w:rPr>
          <w:rFonts w:hint="eastAsia" w:ascii="Times New Roman" w:hAnsi="楷体" w:eastAsia="楷体" w:cs="Times New Roman"/>
          <w:kern w:val="2"/>
          <w:sz w:val="32"/>
          <w:szCs w:val="32"/>
        </w:rPr>
        <w:t>（五）完善监督保障机制。</w:t>
      </w:r>
      <w:r>
        <w:rPr>
          <w:rFonts w:hint="eastAsia" w:ascii="Times New Roman" w:hAnsi="仿宋" w:eastAsia="仿宋" w:cs="Times New Roman"/>
          <w:sz w:val="32"/>
          <w:szCs w:val="32"/>
        </w:rPr>
        <w:t>明确</w:t>
      </w:r>
      <w:r>
        <w:rPr>
          <w:rFonts w:ascii="Times New Roman" w:hAnsi="Times New Roman" w:eastAsia="仿宋" w:cs="Times New Roman"/>
          <w:sz w:val="32"/>
          <w:szCs w:val="32"/>
        </w:rPr>
        <w:t>1</w:t>
      </w:r>
      <w:r>
        <w:rPr>
          <w:rFonts w:hint="eastAsia" w:ascii="Times New Roman" w:hAnsi="仿宋" w:eastAsia="仿宋" w:cs="Times New Roman"/>
          <w:sz w:val="32"/>
          <w:szCs w:val="32"/>
        </w:rPr>
        <w:t>名局领导分管政府信息公开工作，办公室作为牵头负责部门，负责门户网站和政务微信的建设管理工作，接受市政府办公厅政务公开办的指导和监督，督促各处室按要求及时公开相关政务信息，政府信息公开工作纳入内部工作考核。</w:t>
      </w:r>
    </w:p>
    <w:p>
      <w:pPr>
        <w:ind w:firstLine="632" w:firstLineChars="200"/>
        <w:rPr>
          <w:rFonts w:ascii="Times New Roman" w:hAnsi="Times New Roman" w:eastAsia="黑体" w:cs="Times New Roman"/>
          <w:szCs w:val="32"/>
          <w:shd w:val="clear" w:color="auto" w:fill="FFFFFF"/>
        </w:rPr>
      </w:pPr>
      <w:r>
        <w:rPr>
          <w:rFonts w:hint="eastAsia" w:ascii="Times New Roman" w:hAnsi="黑体" w:eastAsia="黑体" w:cs="Times New Roman"/>
          <w:szCs w:val="32"/>
          <w:shd w:val="clear" w:color="auto" w:fill="FFFFFF"/>
        </w:rPr>
        <w:t>二、主动公开政府信息情况</w:t>
      </w:r>
    </w:p>
    <w:tbl>
      <w:tblPr>
        <w:tblStyle w:val="6"/>
        <w:tblW w:w="8140" w:type="dxa"/>
        <w:jc w:val="center"/>
        <w:tblLayout w:type="fixed"/>
        <w:tblCellMar>
          <w:top w:w="0" w:type="dxa"/>
          <w:left w:w="108" w:type="dxa"/>
          <w:bottom w:w="0" w:type="dxa"/>
          <w:right w:w="108" w:type="dxa"/>
        </w:tblCellMar>
      </w:tblPr>
      <w:tblGrid>
        <w:gridCol w:w="2758"/>
        <w:gridCol w:w="1794"/>
        <w:gridCol w:w="1794"/>
        <w:gridCol w:w="1794"/>
      </w:tblGrid>
      <w:tr>
        <w:tblPrEx>
          <w:tblCellMar>
            <w:top w:w="0" w:type="dxa"/>
            <w:left w:w="108" w:type="dxa"/>
            <w:bottom w:w="0" w:type="dxa"/>
            <w:right w:w="108" w:type="dxa"/>
          </w:tblCellMar>
        </w:tblPrEx>
        <w:trPr>
          <w:trHeight w:val="521" w:hRule="atLeas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ind w:firstLine="392" w:firstLineChars="200"/>
              <w:jc w:val="center"/>
              <w:rPr>
                <w:rFonts w:ascii="Times New Roman" w:hAnsi="Times New Roman" w:cs="Times New Roman"/>
                <w:kern w:val="0"/>
                <w:sz w:val="24"/>
                <w:szCs w:val="24"/>
              </w:rPr>
            </w:pPr>
            <w:r>
              <w:rPr>
                <w:rFonts w:hint="eastAsia" w:ascii="Times New Roman" w:hAnsi="宋体" w:cs="Times New Roman"/>
                <w:kern w:val="0"/>
                <w:sz w:val="20"/>
                <w:szCs w:val="20"/>
              </w:rPr>
              <w:t>第二十条第（一）项</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4"/>
                <w:szCs w:val="24"/>
              </w:rPr>
            </w:pPr>
            <w:r>
              <w:rPr>
                <w:rFonts w:hint="eastAsia" w:ascii="Times New Roman" w:hAnsi="宋体" w:cs="Times New Roman"/>
                <w:kern w:val="0"/>
                <w:sz w:val="20"/>
                <w:szCs w:val="20"/>
              </w:rPr>
              <w:t>信息内容</w:t>
            </w:r>
          </w:p>
        </w:tc>
        <w:tc>
          <w:tcPr>
            <w:tcW w:w="1794"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szCs w:val="24"/>
              </w:rPr>
            </w:pPr>
            <w:r>
              <w:rPr>
                <w:rFonts w:hint="eastAsia" w:ascii="Times New Roman" w:hAnsi="宋体" w:cs="Times New Roman"/>
                <w:kern w:val="0"/>
                <w:sz w:val="20"/>
                <w:szCs w:val="20"/>
              </w:rPr>
              <w:t>本年制发件数</w:t>
            </w:r>
          </w:p>
        </w:tc>
        <w:tc>
          <w:tcPr>
            <w:tcW w:w="17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hint="eastAsia" w:ascii="Times New Roman" w:hAnsi="宋体" w:cs="Times New Roman"/>
                <w:kern w:val="0"/>
                <w:sz w:val="20"/>
                <w:szCs w:val="20"/>
              </w:rPr>
              <w:t>本年废止件数</w:t>
            </w:r>
          </w:p>
        </w:tc>
        <w:tc>
          <w:tcPr>
            <w:tcW w:w="1794"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szCs w:val="24"/>
              </w:rPr>
            </w:pPr>
            <w:r>
              <w:rPr>
                <w:rFonts w:hint="eastAsia" w:ascii="Times New Roman" w:hAnsi="宋体" w:cs="Times New Roman"/>
                <w:kern w:val="0"/>
                <w:sz w:val="20"/>
                <w:szCs w:val="20"/>
              </w:rPr>
              <w:t>现行有效件数</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规章</w:t>
            </w:r>
          </w:p>
        </w:tc>
        <w:tc>
          <w:tcPr>
            <w:tcW w:w="1794"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7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794"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行政规范性文件</w:t>
            </w:r>
          </w:p>
        </w:tc>
        <w:tc>
          <w:tcPr>
            <w:tcW w:w="1794"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79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794"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ind w:firstLine="392" w:firstLineChars="200"/>
              <w:jc w:val="center"/>
              <w:rPr>
                <w:rFonts w:ascii="Times New Roman" w:hAnsi="Times New Roman" w:cs="Times New Roman"/>
                <w:kern w:val="0"/>
                <w:sz w:val="24"/>
                <w:szCs w:val="24"/>
              </w:rPr>
            </w:pPr>
            <w:r>
              <w:rPr>
                <w:rFonts w:hint="eastAsia" w:ascii="Times New Roman" w:hAnsi="宋体" w:cs="Times New Roman"/>
                <w:kern w:val="0"/>
                <w:sz w:val="20"/>
                <w:szCs w:val="20"/>
              </w:rPr>
              <w:t>第二十条第（五）项</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信息内容</w:t>
            </w:r>
          </w:p>
        </w:tc>
        <w:tc>
          <w:tcPr>
            <w:tcW w:w="5382"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本年处理决定数量</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行政许可</w:t>
            </w:r>
          </w:p>
        </w:tc>
        <w:tc>
          <w:tcPr>
            <w:tcW w:w="5382" w:type="dxa"/>
            <w:gridSpan w:val="3"/>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第二十条第（六）项</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信息内容</w:t>
            </w:r>
          </w:p>
        </w:tc>
        <w:tc>
          <w:tcPr>
            <w:tcW w:w="5382"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本年处理决定数量</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行政处罚</w:t>
            </w:r>
          </w:p>
        </w:tc>
        <w:tc>
          <w:tcPr>
            <w:tcW w:w="5382"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行政强制</w:t>
            </w:r>
          </w:p>
        </w:tc>
        <w:tc>
          <w:tcPr>
            <w:tcW w:w="5382" w:type="dxa"/>
            <w:gridSpan w:val="3"/>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第二十条第（八）项</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信息内容</w:t>
            </w:r>
          </w:p>
        </w:tc>
        <w:tc>
          <w:tcPr>
            <w:tcW w:w="5382" w:type="dxa"/>
            <w:gridSpan w:val="3"/>
            <w:tcBorders>
              <w:top w:val="nil"/>
              <w:left w:val="nil"/>
              <w:bottom w:val="single" w:color="auto" w:sz="4" w:space="0"/>
              <w:right w:val="single" w:color="000000" w:sz="4" w:space="0"/>
            </w:tcBorders>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本年收费金额（单位：万元）</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rPr>
                <w:rFonts w:ascii="Times New Roman" w:hAnsi="Times New Roman" w:cs="Times New Roman"/>
                <w:kern w:val="0"/>
                <w:sz w:val="20"/>
                <w:szCs w:val="20"/>
              </w:rPr>
            </w:pPr>
            <w:r>
              <w:rPr>
                <w:rFonts w:hint="eastAsia" w:ascii="Times New Roman" w:hAnsi="宋体" w:cs="Times New Roman"/>
                <w:kern w:val="0"/>
                <w:sz w:val="20"/>
                <w:szCs w:val="20"/>
              </w:rPr>
              <w:t>行政事业性收费</w:t>
            </w:r>
          </w:p>
        </w:tc>
        <w:tc>
          <w:tcPr>
            <w:tcW w:w="5382" w:type="dxa"/>
            <w:gridSpan w:val="3"/>
            <w:tcBorders>
              <w:top w:val="nil"/>
              <w:left w:val="nil"/>
              <w:bottom w:val="single" w:color="auto" w:sz="4" w:space="0"/>
              <w:right w:val="single" w:color="000000"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bl>
    <w:p>
      <w:pPr>
        <w:ind w:left="632"/>
        <w:rPr>
          <w:rFonts w:ascii="Times New Roman" w:hAnsi="黑体" w:eastAsia="黑体" w:cs="Times New Roman"/>
          <w:szCs w:val="32"/>
          <w:shd w:val="clear" w:color="auto" w:fill="FFFFFF"/>
        </w:rPr>
      </w:pPr>
    </w:p>
    <w:p>
      <w:pPr>
        <w:ind w:left="632"/>
        <w:rPr>
          <w:rFonts w:ascii="Times New Roman" w:hAnsi="Times New Roman" w:eastAsia="黑体" w:cs="Times New Roman"/>
          <w:szCs w:val="32"/>
          <w:shd w:val="clear" w:color="auto" w:fill="FFFFFF"/>
        </w:rPr>
      </w:pPr>
      <w:r>
        <w:rPr>
          <w:rFonts w:hint="eastAsia" w:ascii="Times New Roman" w:hAnsi="黑体" w:eastAsia="黑体" w:cs="Times New Roman"/>
          <w:szCs w:val="32"/>
          <w:shd w:val="clear" w:color="auto" w:fill="FFFFFF"/>
        </w:rPr>
        <w:t>三、收到和处理政府信息公开申请情况</w:t>
      </w:r>
    </w:p>
    <w:p>
      <w:pPr>
        <w:pStyle w:val="5"/>
        <w:widowControl/>
        <w:shd w:val="clear" w:color="auto" w:fill="FFFFFF"/>
        <w:spacing w:beforeAutospacing="0" w:afterAutospacing="0"/>
        <w:ind w:firstLine="632" w:firstLineChars="200"/>
        <w:jc w:val="both"/>
        <w:rPr>
          <w:rFonts w:ascii="Times New Roman" w:hAnsi="Times New Roman" w:eastAsia="仿宋" w:cs="Times New Roman"/>
          <w:sz w:val="32"/>
          <w:szCs w:val="32"/>
        </w:rPr>
      </w:pPr>
      <w:r>
        <w:rPr>
          <w:rFonts w:hint="eastAsia" w:ascii="Times New Roman" w:hAnsi="仿宋" w:eastAsia="仿宋" w:cs="Times New Roman"/>
          <w:sz w:val="32"/>
          <w:szCs w:val="32"/>
        </w:rPr>
        <w:t>我局坚持依法依规、尽职尽责办理政府信息公开申请工作。对申请人的申请公开信息，不能直接确定的，在相关档案资料中充分进行检索，确认不存在或不能提供时，耐心细致向申请人说明情况；对业务部门拟定的答复意见，认真听取法规部门的意见建议，确保答复程序合法、内容适当、依据充分；对不属于我局业务范围或涉密事项的，协调相关部门认真研究，主动联系申请人做好沟通解释工作，争取得到被申请人理解信任。</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80"/>
        <w:gridCol w:w="2445"/>
        <w:gridCol w:w="840"/>
        <w:gridCol w:w="675"/>
        <w:gridCol w:w="660"/>
        <w:gridCol w:w="840"/>
        <w:gridCol w:w="840"/>
        <w:gridCol w:w="570"/>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Merge w:val="restart"/>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（本列数据的勾稽关系为：第一项加第二项之和，等于第三项加第四项之和）</w:t>
            </w:r>
          </w:p>
        </w:tc>
        <w:tc>
          <w:tcPr>
            <w:tcW w:w="5142" w:type="dxa"/>
            <w:gridSpan w:val="7"/>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29" w:type="dxa"/>
            <w:gridSpan w:val="3"/>
            <w:vMerge w:val="continue"/>
            <w:vAlign w:val="center"/>
          </w:tcPr>
          <w:p>
            <w:pPr>
              <w:widowControl/>
              <w:jc w:val="center"/>
              <w:rPr>
                <w:rFonts w:ascii="Times New Roman" w:hAnsi="Times New Roman" w:cs="Times New Roman"/>
                <w:kern w:val="0"/>
                <w:sz w:val="20"/>
                <w:szCs w:val="20"/>
              </w:rPr>
            </w:pPr>
          </w:p>
        </w:tc>
        <w:tc>
          <w:tcPr>
            <w:tcW w:w="840"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自然人</w:t>
            </w:r>
          </w:p>
        </w:tc>
        <w:tc>
          <w:tcPr>
            <w:tcW w:w="3585" w:type="dxa"/>
            <w:gridSpan w:val="5"/>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法人或其他组织</w:t>
            </w:r>
          </w:p>
        </w:tc>
        <w:tc>
          <w:tcPr>
            <w:tcW w:w="717"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Merge w:val="continue"/>
            <w:vAlign w:val="center"/>
          </w:tcPr>
          <w:p>
            <w:pPr>
              <w:widowControl/>
              <w:jc w:val="center"/>
              <w:rPr>
                <w:rFonts w:ascii="Times New Roman" w:hAnsi="Times New Roman" w:cs="Times New Roman"/>
                <w:kern w:val="0"/>
                <w:sz w:val="20"/>
                <w:szCs w:val="20"/>
              </w:rPr>
            </w:pPr>
          </w:p>
        </w:tc>
        <w:tc>
          <w:tcPr>
            <w:tcW w:w="84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67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商业企业</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科研机构</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社会公益组织</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法律服务机构</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其他</w:t>
            </w:r>
          </w:p>
        </w:tc>
        <w:tc>
          <w:tcPr>
            <w:tcW w:w="717" w:type="dxa"/>
            <w:vMerge w:val="continue"/>
            <w:tcBorders>
              <w:left w:val="nil"/>
            </w:tcBorders>
            <w:vAlign w:val="center"/>
          </w:tcPr>
          <w:p>
            <w:pPr>
              <w:widowControl/>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一、本年新收政府信息公开申请数量</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二、上年结转政府信息公开申请数量</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op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三、本年度办理结果</w:t>
            </w:r>
          </w:p>
        </w:tc>
        <w:tc>
          <w:tcPr>
            <w:tcW w:w="3225" w:type="dxa"/>
            <w:gridSpan w:val="2"/>
            <w:tcBorders>
              <w:left w:val="nil"/>
            </w:tcBorders>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（一）予以公开</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3225" w:type="dxa"/>
            <w:gridSpan w:val="2"/>
            <w:tcBorders>
              <w:left w:val="nil"/>
            </w:tcBorders>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（二）部分公开（区分处理的，只计这一情形，不计其他情形）</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（三）不予公开</w:t>
            </w: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Times New Roman"/>
                <w:kern w:val="0"/>
                <w:sz w:val="20"/>
                <w:szCs w:val="20"/>
              </w:rPr>
              <w:t>属于国家秘密</w:t>
            </w:r>
          </w:p>
        </w:tc>
        <w:tc>
          <w:tcPr>
            <w:tcW w:w="840"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2</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Times New Roman"/>
                <w:kern w:val="0"/>
                <w:sz w:val="20"/>
                <w:szCs w:val="20"/>
              </w:rPr>
              <w:t>其他法律行政法规禁止公开</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Times New Roman"/>
                <w:kern w:val="0"/>
                <w:sz w:val="20"/>
                <w:szCs w:val="20"/>
              </w:rPr>
              <w:t>危及</w:t>
            </w:r>
            <w:r>
              <w:rPr>
                <w:rFonts w:ascii="Times New Roman" w:hAnsi="Times New Roman" w:cs="Times New Roman"/>
                <w:kern w:val="0"/>
                <w:sz w:val="20"/>
                <w:szCs w:val="20"/>
              </w:rPr>
              <w:t>“</w:t>
            </w:r>
            <w:r>
              <w:rPr>
                <w:rFonts w:hint="eastAsia" w:ascii="Times New Roman" w:hAnsi="宋体" w:cs="Times New Roman"/>
                <w:kern w:val="0"/>
                <w:sz w:val="20"/>
                <w:szCs w:val="20"/>
              </w:rPr>
              <w:t>三安全一稳定</w:t>
            </w:r>
            <w:r>
              <w:rPr>
                <w:rFonts w:ascii="Times New Roman" w:hAnsi="Times New Roman" w:cs="Times New Roman"/>
                <w:kern w:val="0"/>
                <w:sz w:val="20"/>
                <w:szCs w:val="20"/>
              </w:rPr>
              <w:t>”</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Times New Roman"/>
                <w:kern w:val="0"/>
                <w:sz w:val="20"/>
                <w:szCs w:val="20"/>
              </w:rPr>
              <w:t>保护第三方合法权益</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Times New Roman"/>
                <w:kern w:val="0"/>
                <w:sz w:val="20"/>
                <w:szCs w:val="20"/>
              </w:rPr>
              <w:t>属于三类内部事务信息</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Times New Roman"/>
                <w:kern w:val="0"/>
                <w:sz w:val="20"/>
                <w:szCs w:val="20"/>
              </w:rPr>
              <w:t>属于四类过程性信息</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7.</w:t>
            </w:r>
            <w:r>
              <w:rPr>
                <w:rFonts w:hint="eastAsia" w:ascii="Times New Roman" w:hAnsi="宋体" w:cs="Times New Roman"/>
                <w:kern w:val="0"/>
                <w:sz w:val="20"/>
                <w:szCs w:val="20"/>
              </w:rPr>
              <w:t>属于行政执法案卷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8.</w:t>
            </w:r>
            <w:r>
              <w:rPr>
                <w:rFonts w:hint="eastAsia" w:ascii="Times New Roman" w:hAnsi="宋体" w:cs="Times New Roman"/>
                <w:kern w:val="0"/>
                <w:sz w:val="20"/>
                <w:szCs w:val="20"/>
              </w:rPr>
              <w:t>属于行政查询事项</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（四）无法提供</w:t>
            </w: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Times New Roman"/>
                <w:kern w:val="0"/>
                <w:sz w:val="20"/>
                <w:szCs w:val="20"/>
              </w:rPr>
              <w:t>本机关不掌握相关政府信息</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Times New Roman"/>
                <w:kern w:val="0"/>
                <w:sz w:val="20"/>
                <w:szCs w:val="20"/>
              </w:rPr>
              <w:t>没有现成信息需要另行制作</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Times New Roman"/>
                <w:kern w:val="0"/>
                <w:sz w:val="20"/>
                <w:szCs w:val="20"/>
              </w:rPr>
              <w:t>补正后申请内容仍不明确</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（五）不予处理</w:t>
            </w: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Times New Roman"/>
                <w:kern w:val="0"/>
                <w:sz w:val="20"/>
                <w:szCs w:val="20"/>
              </w:rPr>
              <w:t>信访举报投诉类申请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Times New Roman"/>
                <w:kern w:val="0"/>
                <w:sz w:val="20"/>
                <w:szCs w:val="20"/>
              </w:rPr>
              <w:t>重复申请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Times New Roman"/>
                <w:kern w:val="0"/>
                <w:sz w:val="20"/>
                <w:szCs w:val="20"/>
              </w:rPr>
              <w:t>要求提供公开出版物</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Times New Roman"/>
                <w:kern w:val="0"/>
                <w:sz w:val="20"/>
                <w:szCs w:val="20"/>
              </w:rPr>
              <w:t>无正当理由大量反复申请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Times New Roman"/>
                <w:kern w:val="0"/>
                <w:sz w:val="20"/>
                <w:szCs w:val="20"/>
              </w:rPr>
              <w:t>要求行政机关确认或重新出具已获取信息</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（六）其他处理</w:t>
            </w: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Times New Roman"/>
                <w:kern w:val="0"/>
                <w:sz w:val="20"/>
                <w:szCs w:val="20"/>
              </w:rPr>
              <w:t>申请人无正当理由逾期不补证、行政机关不再处理其政府信息公开申请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Times New Roman"/>
                <w:kern w:val="0"/>
                <w:sz w:val="20"/>
                <w:szCs w:val="20"/>
              </w:rPr>
              <w:t>申请人逾期未按收费通知要求缴纳费用、行政机关不再处理其政府信息公开申请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Times New Roman"/>
                <w:kern w:val="0"/>
                <w:sz w:val="20"/>
                <w:szCs w:val="20"/>
              </w:rPr>
              <w:t>其他</w:t>
            </w:r>
          </w:p>
        </w:tc>
        <w:tc>
          <w:tcPr>
            <w:tcW w:w="840"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7</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3225" w:type="dxa"/>
            <w:gridSpan w:val="2"/>
            <w:tcBorders>
              <w:left w:val="nil"/>
            </w:tcBorders>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（七）总计</w:t>
            </w:r>
          </w:p>
        </w:tc>
        <w:tc>
          <w:tcPr>
            <w:tcW w:w="840" w:type="dxa"/>
            <w:tcBorders>
              <w:left w:val="nil"/>
            </w:tcBorders>
            <w:vAlign w:val="center"/>
          </w:tcPr>
          <w:p>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cs="Times New Roman"/>
                <w:kern w:val="0"/>
                <w:sz w:val="20"/>
                <w:szCs w:val="20"/>
                <w:lang w:val="en-US" w:eastAsia="zh-CN"/>
              </w:rPr>
              <w:t>13</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1</w:t>
            </w:r>
          </w:p>
        </w:tc>
        <w:tc>
          <w:tcPr>
            <w:tcW w:w="717" w:type="dxa"/>
            <w:tcBorders>
              <w:left w:val="nil"/>
            </w:tcBorders>
            <w:vAlign w:val="center"/>
          </w:tcPr>
          <w:p>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cs="Times New Roman"/>
                <w:kern w:val="0"/>
                <w:sz w:val="20"/>
                <w:szCs w:val="20"/>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四、结转下年度继续办理</w:t>
            </w:r>
          </w:p>
        </w:tc>
        <w:tc>
          <w:tcPr>
            <w:tcW w:w="840"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0</w:t>
            </w:r>
          </w:p>
        </w:tc>
      </w:tr>
    </w:tbl>
    <w:p>
      <w:pPr>
        <w:ind w:firstLine="632" w:firstLineChars="200"/>
        <w:rPr>
          <w:rFonts w:ascii="Times New Roman" w:hAnsi="Times New Roman" w:eastAsia="黑体" w:cs="Times New Roman"/>
          <w:szCs w:val="32"/>
          <w:shd w:val="clear" w:color="auto" w:fill="FFFFFF"/>
        </w:rPr>
      </w:pPr>
      <w:r>
        <w:rPr>
          <w:rFonts w:hint="eastAsia" w:ascii="Times New Roman" w:hAnsi="黑体" w:eastAsia="黑体" w:cs="Times New Roman"/>
          <w:szCs w:val="32"/>
          <w:shd w:val="clear" w:color="auto" w:fill="FFFFFF"/>
        </w:rPr>
        <w:t>四、政府信息公开行政复议和行政诉讼情况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行政复议</w:t>
            </w:r>
          </w:p>
        </w:tc>
        <w:tc>
          <w:tcPr>
            <w:tcW w:w="5997" w:type="dxa"/>
            <w:gridSpan w:val="10"/>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结果维持</w:t>
            </w:r>
          </w:p>
        </w:tc>
        <w:tc>
          <w:tcPr>
            <w:tcW w:w="604"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结果纠正</w:t>
            </w:r>
          </w:p>
        </w:tc>
        <w:tc>
          <w:tcPr>
            <w:tcW w:w="604"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其他结果</w:t>
            </w:r>
          </w:p>
        </w:tc>
        <w:tc>
          <w:tcPr>
            <w:tcW w:w="604"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尚未审结</w:t>
            </w:r>
          </w:p>
        </w:tc>
        <w:tc>
          <w:tcPr>
            <w:tcW w:w="658"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总计</w:t>
            </w:r>
          </w:p>
        </w:tc>
        <w:tc>
          <w:tcPr>
            <w:tcW w:w="2970" w:type="dxa"/>
            <w:gridSpan w:val="5"/>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未经复议直接起诉</w:t>
            </w:r>
          </w:p>
        </w:tc>
        <w:tc>
          <w:tcPr>
            <w:tcW w:w="3027" w:type="dxa"/>
            <w:gridSpan w:val="5"/>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tcBorders>
            <w:vAlign w:val="center"/>
          </w:tcPr>
          <w:p>
            <w:pPr>
              <w:widowControl/>
              <w:jc w:val="center"/>
              <w:rPr>
                <w:rFonts w:ascii="Times New Roman" w:hAnsi="Times New Roman" w:cs="Times New Roman"/>
                <w:kern w:val="0"/>
                <w:sz w:val="20"/>
                <w:szCs w:val="20"/>
              </w:rPr>
            </w:pPr>
          </w:p>
        </w:tc>
        <w:tc>
          <w:tcPr>
            <w:tcW w:w="0" w:type="auto"/>
            <w:vMerge w:val="continue"/>
            <w:tcBorders>
              <w:top w:val="nil"/>
              <w:left w:val="nil"/>
            </w:tcBorders>
            <w:vAlign w:val="center"/>
          </w:tcPr>
          <w:p>
            <w:pPr>
              <w:widowControl/>
              <w:jc w:val="center"/>
              <w:rPr>
                <w:rFonts w:ascii="Times New Roman" w:hAnsi="Times New Roman" w:cs="Times New Roman"/>
                <w:kern w:val="0"/>
                <w:sz w:val="20"/>
                <w:szCs w:val="20"/>
              </w:rPr>
            </w:pPr>
          </w:p>
        </w:tc>
        <w:tc>
          <w:tcPr>
            <w:tcW w:w="0" w:type="auto"/>
            <w:vMerge w:val="continue"/>
            <w:tcBorders>
              <w:left w:val="nil"/>
            </w:tcBorders>
            <w:vAlign w:val="center"/>
          </w:tcPr>
          <w:p>
            <w:pPr>
              <w:widowControl/>
              <w:jc w:val="center"/>
              <w:rPr>
                <w:rFonts w:ascii="Times New Roman" w:hAnsi="Times New Roman" w:cs="Times New Roman"/>
                <w:kern w:val="0"/>
                <w:sz w:val="20"/>
                <w:szCs w:val="20"/>
              </w:rPr>
            </w:pPr>
          </w:p>
        </w:tc>
        <w:tc>
          <w:tcPr>
            <w:tcW w:w="0" w:type="auto"/>
            <w:vMerge w:val="continue"/>
            <w:tcBorders>
              <w:left w:val="nil"/>
            </w:tcBorders>
            <w:vAlign w:val="center"/>
          </w:tcPr>
          <w:p>
            <w:pPr>
              <w:widowControl/>
              <w:jc w:val="center"/>
              <w:rPr>
                <w:rFonts w:ascii="Times New Roman" w:hAnsi="Times New Roman" w:cs="Times New Roman"/>
                <w:kern w:val="0"/>
                <w:sz w:val="20"/>
                <w:szCs w:val="20"/>
              </w:rPr>
            </w:pPr>
          </w:p>
        </w:tc>
        <w:tc>
          <w:tcPr>
            <w:tcW w:w="0" w:type="auto"/>
            <w:vMerge w:val="continue"/>
            <w:tcBorders>
              <w:left w:val="nil"/>
            </w:tcBorders>
            <w:vAlign w:val="center"/>
          </w:tcPr>
          <w:p>
            <w:pPr>
              <w:widowControl/>
              <w:jc w:val="center"/>
              <w:rPr>
                <w:rFonts w:ascii="Times New Roman" w:hAnsi="Times New Roman" w:cs="Times New Roman"/>
                <w:kern w:val="0"/>
                <w:sz w:val="20"/>
                <w:szCs w:val="20"/>
              </w:rPr>
            </w:pPr>
          </w:p>
        </w:tc>
        <w:tc>
          <w:tcPr>
            <w:tcW w:w="55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结果维持</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结果纠正</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其他结果</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尚未审结</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总计</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结果维持</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结果纠正</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其他结果</w:t>
            </w:r>
          </w:p>
        </w:tc>
        <w:tc>
          <w:tcPr>
            <w:tcW w:w="606"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尚未审结</w:t>
            </w:r>
          </w:p>
        </w:tc>
        <w:tc>
          <w:tcPr>
            <w:tcW w:w="606"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604"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4"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4"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58"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55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6"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6"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bl>
    <w:p>
      <w:pPr>
        <w:ind w:firstLine="632" w:firstLineChars="200"/>
        <w:rPr>
          <w:rFonts w:ascii="Times New Roman" w:hAnsi="Times New Roman" w:eastAsia="黑体" w:cs="Times New Roman"/>
          <w:szCs w:val="32"/>
        </w:rPr>
      </w:pPr>
      <w:r>
        <w:rPr>
          <w:rFonts w:hint="eastAsia" w:ascii="Times New Roman" w:hAnsi="黑体" w:eastAsia="黑体" w:cs="Times New Roman"/>
          <w:szCs w:val="32"/>
        </w:rPr>
        <w:t>五、存在的主要问题及改进情况</w:t>
      </w:r>
    </w:p>
    <w:p>
      <w:pPr>
        <w:ind w:firstLine="632" w:firstLineChars="200"/>
        <w:rPr>
          <w:rFonts w:ascii="Times New Roman" w:hAnsi="Times New Roman" w:eastAsia="仿宋" w:cs="Times New Roman"/>
          <w:szCs w:val="32"/>
        </w:rPr>
      </w:pPr>
      <w:r>
        <w:rPr>
          <w:rFonts w:hint="eastAsia" w:ascii="Times New Roman" w:hAnsi="仿宋" w:eastAsia="仿宋" w:cs="Times New Roman"/>
          <w:szCs w:val="32"/>
        </w:rPr>
        <w:t>一年来，在局党组的领导下，我局政府信息公开工作规范有序稳步推进，但仍然存在一些问题，主要表现在：一是随着审计影响力的不断提升，人民群众申请审计信息公开的要求更加多样，尤其是经常提出非我局职责范围内的政府信息公开事项，需要进一步加强政策宣传和解释引导；二是岗位人员的业务能力有待进一步提升。</w:t>
      </w:r>
    </w:p>
    <w:p>
      <w:pPr>
        <w:ind w:firstLine="632" w:firstLineChars="200"/>
        <w:rPr>
          <w:rFonts w:ascii="Times New Roman" w:hAnsi="Times New Roman" w:eastAsia="仿宋" w:cs="Times New Roman"/>
          <w:szCs w:val="32"/>
        </w:rPr>
      </w:pPr>
      <w:r>
        <w:rPr>
          <w:rFonts w:ascii="Times New Roman" w:hAnsi="Times New Roman" w:eastAsia="仿宋" w:cs="Times New Roman"/>
          <w:szCs w:val="32"/>
        </w:rPr>
        <w:t>2026</w:t>
      </w:r>
      <w:r>
        <w:rPr>
          <w:rFonts w:hint="eastAsia" w:ascii="Times New Roman" w:hAnsi="仿宋" w:eastAsia="仿宋" w:cs="Times New Roman"/>
          <w:szCs w:val="32"/>
        </w:rPr>
        <w:t>年，我局将</w:t>
      </w:r>
      <w:r>
        <w:rPr>
          <w:rFonts w:hint="eastAsia" w:ascii="Times New Roman" w:hAnsi="仿宋" w:eastAsia="仿宋" w:cs="Times New Roman"/>
          <w:szCs w:val="32"/>
          <w:lang w:eastAsia="zh-CN"/>
        </w:rPr>
        <w:t>继续</w:t>
      </w:r>
      <w:r>
        <w:rPr>
          <w:rFonts w:hint="eastAsia" w:ascii="Times New Roman" w:hAnsi="仿宋" w:eastAsia="仿宋" w:cs="Times New Roman"/>
          <w:szCs w:val="32"/>
        </w:rPr>
        <w:t>坚持以习近平新时代中国特色社会主义思想为指导，全面贯彻落实中央、省、市关于政府信息公开工作的各项要求，组织相关岗位人员深入学习政府信息公开的政策法规，积极学习借鉴先进单位经验，全面提升履职能力</w:t>
      </w:r>
      <w:r>
        <w:rPr>
          <w:rFonts w:hint="eastAsia" w:ascii="Times New Roman" w:hAnsi="仿宋" w:eastAsia="仿宋" w:cs="Times New Roman"/>
          <w:szCs w:val="32"/>
          <w:lang w:eastAsia="zh-CN"/>
        </w:rPr>
        <w:t>。进一步</w:t>
      </w:r>
      <w:r>
        <w:rPr>
          <w:rFonts w:hint="eastAsia" w:ascii="Times New Roman" w:hAnsi="仿宋" w:eastAsia="仿宋" w:cs="Times New Roman"/>
          <w:szCs w:val="32"/>
          <w:lang w:val="en-US" w:eastAsia="zh-CN"/>
        </w:rPr>
        <w:t>增强</w:t>
      </w:r>
      <w:r>
        <w:rPr>
          <w:rFonts w:hint="eastAsia" w:ascii="Times New Roman" w:hAnsi="仿宋" w:eastAsia="仿宋" w:cs="Times New Roman"/>
          <w:szCs w:val="32"/>
          <w:lang w:eastAsia="zh-CN"/>
        </w:rPr>
        <w:t>服务意识</w:t>
      </w:r>
      <w:r>
        <w:rPr>
          <w:rFonts w:hint="eastAsia" w:ascii="Times New Roman" w:hAnsi="仿宋" w:eastAsia="仿宋" w:cs="Times New Roman"/>
          <w:szCs w:val="32"/>
        </w:rPr>
        <w:t>，尤其是对个别申请人多次就不属于政府信息公开事项进行咨询、表达信访诉求的情况，更加耐心细致地</w:t>
      </w:r>
      <w:r>
        <w:rPr>
          <w:rFonts w:hint="eastAsia" w:ascii="Times New Roman" w:hAnsi="仿宋" w:eastAsia="仿宋" w:cs="Times New Roman"/>
          <w:szCs w:val="32"/>
          <w:lang w:val="en-US" w:eastAsia="zh-CN"/>
        </w:rPr>
        <w:t>做</w:t>
      </w:r>
      <w:r>
        <w:rPr>
          <w:rFonts w:hint="eastAsia" w:ascii="Times New Roman" w:hAnsi="仿宋" w:eastAsia="仿宋" w:cs="Times New Roman"/>
          <w:szCs w:val="32"/>
        </w:rPr>
        <w:t>好法规解释和思想引导工作。</w:t>
      </w:r>
    </w:p>
    <w:p>
      <w:pPr>
        <w:ind w:firstLine="632" w:firstLineChars="200"/>
        <w:rPr>
          <w:rFonts w:ascii="Times New Roman" w:hAnsi="Times New Roman" w:eastAsia="黑体" w:cs="Times New Roman"/>
          <w:szCs w:val="32"/>
        </w:rPr>
      </w:pPr>
      <w:r>
        <w:rPr>
          <w:rFonts w:hint="eastAsia" w:ascii="Times New Roman" w:hAnsi="黑体" w:eastAsia="黑体" w:cs="Times New Roman"/>
          <w:szCs w:val="32"/>
        </w:rPr>
        <w:t>六、其他需要报告的事项</w:t>
      </w:r>
    </w:p>
    <w:p>
      <w:pPr>
        <w:ind w:firstLine="632" w:firstLineChars="200"/>
        <w:rPr>
          <w:rFonts w:ascii="Times New Roman" w:hAnsi="Times New Roman" w:eastAsia="仿宋" w:cs="Times New Roman"/>
          <w:szCs w:val="32"/>
        </w:rPr>
      </w:pPr>
      <w:r>
        <w:rPr>
          <w:rFonts w:hint="eastAsia" w:ascii="Times New Roman" w:hAnsi="仿宋" w:eastAsia="仿宋" w:cs="Times New Roman"/>
          <w:szCs w:val="32"/>
        </w:rPr>
        <w:t>本年度没有政府信息公开收费情况，也无其他需要报告的事项。</w:t>
      </w:r>
    </w:p>
    <w:p>
      <w:pPr>
        <w:ind w:firstLine="632" w:firstLineChars="200"/>
        <w:rPr>
          <w:rFonts w:ascii="Times New Roman" w:hAnsi="Times New Roman" w:eastAsia="仿宋" w:cs="Times New Roman"/>
          <w:szCs w:val="32"/>
        </w:rPr>
      </w:pPr>
    </w:p>
    <w:p>
      <w:pPr>
        <w:ind w:firstLine="632" w:firstLineChars="200"/>
        <w:jc w:val="left"/>
        <w:rPr>
          <w:rFonts w:ascii="Times New Roman" w:hAnsi="Times New Roman" w:eastAsia="仿宋" w:cs="Times New Roman"/>
          <w:szCs w:val="32"/>
        </w:rPr>
      </w:pPr>
    </w:p>
    <w:p>
      <w:pPr>
        <w:ind w:firstLine="5597" w:firstLineChars="1771"/>
        <w:jc w:val="left"/>
        <w:rPr>
          <w:rFonts w:ascii="Times New Roman" w:hAnsi="Times New Roman" w:eastAsia="仿宋" w:cs="Times New Roman"/>
          <w:szCs w:val="32"/>
        </w:rPr>
      </w:pPr>
      <w:r>
        <w:rPr>
          <w:rFonts w:hint="eastAsia" w:ascii="Times New Roman" w:hAnsi="仿宋" w:eastAsia="仿宋" w:cs="Times New Roman"/>
          <w:szCs w:val="32"/>
        </w:rPr>
        <w:t>南京市审计局</w:t>
      </w:r>
    </w:p>
    <w:p>
      <w:pPr>
        <w:ind w:firstLine="5287" w:firstLineChars="1673"/>
        <w:jc w:val="left"/>
        <w:rPr>
          <w:rFonts w:ascii="Times New Roman" w:hAnsi="Times New Roman" w:eastAsia="仿宋" w:cs="Times New Roman"/>
          <w:szCs w:val="32"/>
        </w:rPr>
      </w:pPr>
      <w:r>
        <w:rPr>
          <w:rFonts w:ascii="Times New Roman" w:hAnsi="Times New Roman" w:eastAsia="仿宋" w:cs="Times New Roman"/>
          <w:szCs w:val="32"/>
        </w:rPr>
        <w:t>2026</w:t>
      </w:r>
      <w:r>
        <w:rPr>
          <w:rFonts w:hint="eastAsia" w:ascii="Times New Roman" w:hAnsi="仿宋" w:eastAsia="仿宋" w:cs="Times New Roman"/>
          <w:szCs w:val="32"/>
        </w:rPr>
        <w:t>年</w:t>
      </w:r>
      <w:r>
        <w:rPr>
          <w:rFonts w:ascii="Times New Roman" w:hAnsi="Times New Roman" w:eastAsia="仿宋" w:cs="Times New Roman"/>
          <w:szCs w:val="32"/>
        </w:rPr>
        <w:t>1</w:t>
      </w:r>
      <w:r>
        <w:rPr>
          <w:rFonts w:hint="eastAsia" w:ascii="Times New Roman" w:hAnsi="仿宋" w:eastAsia="仿宋" w:cs="Times New Roman"/>
          <w:szCs w:val="32"/>
        </w:rPr>
        <w:t>月</w:t>
      </w:r>
      <w:r>
        <w:rPr>
          <w:rFonts w:ascii="Times New Roman" w:hAnsi="Times New Roman" w:eastAsia="仿宋" w:cs="Times New Roman"/>
          <w:szCs w:val="32"/>
        </w:rPr>
        <w:t>13</w:t>
      </w:r>
      <w:r>
        <w:rPr>
          <w:rFonts w:hint="eastAsia" w:ascii="Times New Roman" w:hAnsi="仿宋" w:eastAsia="仿宋" w:cs="Times New Roman"/>
          <w:szCs w:val="32"/>
        </w:rPr>
        <w:t>日</w:t>
      </w:r>
    </w:p>
    <w:sectPr>
      <w:footerReference r:id="rId3" w:type="default"/>
      <w:pgSz w:w="11906" w:h="16838"/>
      <w:pgMar w:top="1985" w:right="1474" w:bottom="1701" w:left="1588" w:header="851" w:footer="992" w:gutter="0"/>
      <w:cols w:space="425" w:num="1"/>
      <w:docGrid w:type="linesAndChars" w:linePitch="59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rPr>
    </w:pPr>
    <w:r>
      <w:fldChar w:fldCharType="begin"/>
    </w:r>
    <w:r>
      <w:instrText xml:space="preserve">PAGE   \* MERGEFORMAT</w:instrText>
    </w:r>
    <w:r>
      <w:fldChar w:fldCharType="separate"/>
    </w:r>
    <w:r>
      <w:rPr>
        <w:lang w:val="zh-CN"/>
      </w:rPr>
      <w:t>1</w:t>
    </w:r>
    <w:r>
      <w:rPr>
        <w:lang w:val="zh-CN"/>
      </w:rPr>
      <w:fldChar w:fldCharType="end"/>
    </w:r>
  </w:p>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oNotHyphenateCaps/>
  <w:drawingGridHorizontalSpacing w:val="158"/>
  <w:drawingGridVerticalSpacing w:val="597"/>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40"/>
    <w:rsid w:val="000068F9"/>
    <w:rsid w:val="00016A86"/>
    <w:rsid w:val="00024BB1"/>
    <w:rsid w:val="000513C0"/>
    <w:rsid w:val="00073ED6"/>
    <w:rsid w:val="000750D1"/>
    <w:rsid w:val="000A79E5"/>
    <w:rsid w:val="000E17AF"/>
    <w:rsid w:val="000E666E"/>
    <w:rsid w:val="00130851"/>
    <w:rsid w:val="00156832"/>
    <w:rsid w:val="00184AC4"/>
    <w:rsid w:val="001A25E2"/>
    <w:rsid w:val="001C1C2F"/>
    <w:rsid w:val="002041F0"/>
    <w:rsid w:val="00207198"/>
    <w:rsid w:val="00255837"/>
    <w:rsid w:val="00256167"/>
    <w:rsid w:val="002878B9"/>
    <w:rsid w:val="002B0663"/>
    <w:rsid w:val="002D2F01"/>
    <w:rsid w:val="00321FE9"/>
    <w:rsid w:val="00346A2C"/>
    <w:rsid w:val="00361324"/>
    <w:rsid w:val="00377131"/>
    <w:rsid w:val="00387E9E"/>
    <w:rsid w:val="003A1340"/>
    <w:rsid w:val="003B098A"/>
    <w:rsid w:val="003E37FD"/>
    <w:rsid w:val="003F2919"/>
    <w:rsid w:val="00401B5B"/>
    <w:rsid w:val="0041161B"/>
    <w:rsid w:val="00417A16"/>
    <w:rsid w:val="0048445B"/>
    <w:rsid w:val="004C660B"/>
    <w:rsid w:val="00513D7D"/>
    <w:rsid w:val="00533FA9"/>
    <w:rsid w:val="00536C56"/>
    <w:rsid w:val="005C44F8"/>
    <w:rsid w:val="005E4723"/>
    <w:rsid w:val="0062196D"/>
    <w:rsid w:val="00642DC8"/>
    <w:rsid w:val="00644D8B"/>
    <w:rsid w:val="006575C4"/>
    <w:rsid w:val="006678C2"/>
    <w:rsid w:val="00673BF7"/>
    <w:rsid w:val="006B5CF1"/>
    <w:rsid w:val="0070763C"/>
    <w:rsid w:val="00734CC1"/>
    <w:rsid w:val="0073516E"/>
    <w:rsid w:val="00752FC2"/>
    <w:rsid w:val="00792104"/>
    <w:rsid w:val="008D1F34"/>
    <w:rsid w:val="008D6606"/>
    <w:rsid w:val="008E1B71"/>
    <w:rsid w:val="00902A7D"/>
    <w:rsid w:val="00920C33"/>
    <w:rsid w:val="00973B30"/>
    <w:rsid w:val="00985683"/>
    <w:rsid w:val="009B2AF9"/>
    <w:rsid w:val="009D3487"/>
    <w:rsid w:val="009D60D6"/>
    <w:rsid w:val="00A05068"/>
    <w:rsid w:val="00A57CEE"/>
    <w:rsid w:val="00A748E7"/>
    <w:rsid w:val="00A96DFE"/>
    <w:rsid w:val="00AE7043"/>
    <w:rsid w:val="00B137C5"/>
    <w:rsid w:val="00B32319"/>
    <w:rsid w:val="00B7380B"/>
    <w:rsid w:val="00B76CF2"/>
    <w:rsid w:val="00BA149D"/>
    <w:rsid w:val="00BA7EFF"/>
    <w:rsid w:val="00BC4E3C"/>
    <w:rsid w:val="00BF4DAD"/>
    <w:rsid w:val="00C541E3"/>
    <w:rsid w:val="00C71A34"/>
    <w:rsid w:val="00C835AE"/>
    <w:rsid w:val="00C840DD"/>
    <w:rsid w:val="00CA508B"/>
    <w:rsid w:val="00CB0A73"/>
    <w:rsid w:val="00CB758F"/>
    <w:rsid w:val="00CD6665"/>
    <w:rsid w:val="00D34090"/>
    <w:rsid w:val="00D72618"/>
    <w:rsid w:val="00D7269E"/>
    <w:rsid w:val="00DB358E"/>
    <w:rsid w:val="00DE2951"/>
    <w:rsid w:val="00DF453F"/>
    <w:rsid w:val="00E203C0"/>
    <w:rsid w:val="00E37F4E"/>
    <w:rsid w:val="00E47F78"/>
    <w:rsid w:val="00EC046C"/>
    <w:rsid w:val="00EF2A33"/>
    <w:rsid w:val="00F022D0"/>
    <w:rsid w:val="00F1645F"/>
    <w:rsid w:val="00F56B17"/>
    <w:rsid w:val="00F62C4D"/>
    <w:rsid w:val="00FA039D"/>
    <w:rsid w:val="00FB4772"/>
    <w:rsid w:val="00FB5595"/>
    <w:rsid w:val="00FC6B19"/>
    <w:rsid w:val="01695E98"/>
    <w:rsid w:val="02150688"/>
    <w:rsid w:val="03391A3D"/>
    <w:rsid w:val="03825E76"/>
    <w:rsid w:val="038B3D05"/>
    <w:rsid w:val="03F81E1C"/>
    <w:rsid w:val="042740D9"/>
    <w:rsid w:val="0439326B"/>
    <w:rsid w:val="04476C55"/>
    <w:rsid w:val="044905BD"/>
    <w:rsid w:val="060279A9"/>
    <w:rsid w:val="06AB4490"/>
    <w:rsid w:val="071774AB"/>
    <w:rsid w:val="075F7D69"/>
    <w:rsid w:val="0782781B"/>
    <w:rsid w:val="08AE011C"/>
    <w:rsid w:val="091A4D92"/>
    <w:rsid w:val="0A6C5F35"/>
    <w:rsid w:val="0ADF04B5"/>
    <w:rsid w:val="0BE751AB"/>
    <w:rsid w:val="0E6509DE"/>
    <w:rsid w:val="100636AC"/>
    <w:rsid w:val="12F60699"/>
    <w:rsid w:val="130905E8"/>
    <w:rsid w:val="139C46D7"/>
    <w:rsid w:val="13D326FD"/>
    <w:rsid w:val="154C24EF"/>
    <w:rsid w:val="16D75A3F"/>
    <w:rsid w:val="17635AD6"/>
    <w:rsid w:val="180511B2"/>
    <w:rsid w:val="19A36138"/>
    <w:rsid w:val="19B52CA6"/>
    <w:rsid w:val="1A461CAC"/>
    <w:rsid w:val="1AE270A6"/>
    <w:rsid w:val="1B206DB0"/>
    <w:rsid w:val="1C791AC6"/>
    <w:rsid w:val="1D5427C7"/>
    <w:rsid w:val="1E406887"/>
    <w:rsid w:val="1E6D228E"/>
    <w:rsid w:val="1FE809FF"/>
    <w:rsid w:val="223E7373"/>
    <w:rsid w:val="23481F2F"/>
    <w:rsid w:val="239A7D0C"/>
    <w:rsid w:val="244846EE"/>
    <w:rsid w:val="253857CB"/>
    <w:rsid w:val="25C132E1"/>
    <w:rsid w:val="25CD7F58"/>
    <w:rsid w:val="267D0C88"/>
    <w:rsid w:val="2822151C"/>
    <w:rsid w:val="28E23C01"/>
    <w:rsid w:val="29B379F0"/>
    <w:rsid w:val="2A0A069C"/>
    <w:rsid w:val="2BC01DD3"/>
    <w:rsid w:val="2CA8256F"/>
    <w:rsid w:val="2D6F7C6F"/>
    <w:rsid w:val="2DB56C9B"/>
    <w:rsid w:val="2DB57208"/>
    <w:rsid w:val="2DF40B3D"/>
    <w:rsid w:val="2FAA5CD5"/>
    <w:rsid w:val="2FC35ED7"/>
    <w:rsid w:val="30C97EF2"/>
    <w:rsid w:val="32254DE2"/>
    <w:rsid w:val="32635417"/>
    <w:rsid w:val="336C75CF"/>
    <w:rsid w:val="338D7A06"/>
    <w:rsid w:val="34B921B9"/>
    <w:rsid w:val="35773A2B"/>
    <w:rsid w:val="372620EE"/>
    <w:rsid w:val="37783BB1"/>
    <w:rsid w:val="399F0D6A"/>
    <w:rsid w:val="3A18184A"/>
    <w:rsid w:val="3AAA124E"/>
    <w:rsid w:val="3AAA1816"/>
    <w:rsid w:val="3B235D72"/>
    <w:rsid w:val="3BBB1223"/>
    <w:rsid w:val="3C0177D6"/>
    <w:rsid w:val="3FFE3315"/>
    <w:rsid w:val="40590D1F"/>
    <w:rsid w:val="40604FBF"/>
    <w:rsid w:val="41BA2F19"/>
    <w:rsid w:val="431A173D"/>
    <w:rsid w:val="43CC16BA"/>
    <w:rsid w:val="467E6BB4"/>
    <w:rsid w:val="47786005"/>
    <w:rsid w:val="493100C6"/>
    <w:rsid w:val="4A9B3E33"/>
    <w:rsid w:val="4ABA2BEE"/>
    <w:rsid w:val="4B48195D"/>
    <w:rsid w:val="4C587E76"/>
    <w:rsid w:val="4C995C3D"/>
    <w:rsid w:val="4DCC5FF5"/>
    <w:rsid w:val="4E255CDB"/>
    <w:rsid w:val="4EAB5F81"/>
    <w:rsid w:val="500F234D"/>
    <w:rsid w:val="57507A4C"/>
    <w:rsid w:val="58525912"/>
    <w:rsid w:val="5A4E7B4A"/>
    <w:rsid w:val="5A9D7B8D"/>
    <w:rsid w:val="5B8C11C3"/>
    <w:rsid w:val="5C2E018D"/>
    <w:rsid w:val="5D6A0DA7"/>
    <w:rsid w:val="5E391080"/>
    <w:rsid w:val="5E6776F6"/>
    <w:rsid w:val="5F3E6593"/>
    <w:rsid w:val="5FCD1D2F"/>
    <w:rsid w:val="62E03D1F"/>
    <w:rsid w:val="64665C58"/>
    <w:rsid w:val="64804D34"/>
    <w:rsid w:val="6492431A"/>
    <w:rsid w:val="65FC7685"/>
    <w:rsid w:val="66C1498C"/>
    <w:rsid w:val="66F860C2"/>
    <w:rsid w:val="67232FF8"/>
    <w:rsid w:val="67E049C2"/>
    <w:rsid w:val="6A68719C"/>
    <w:rsid w:val="6A87026E"/>
    <w:rsid w:val="6B2C1200"/>
    <w:rsid w:val="6B3E38F7"/>
    <w:rsid w:val="6B54213C"/>
    <w:rsid w:val="6E4D1358"/>
    <w:rsid w:val="6FC20B6A"/>
    <w:rsid w:val="718D2709"/>
    <w:rsid w:val="72300A8F"/>
    <w:rsid w:val="72AE6418"/>
    <w:rsid w:val="73D41CA4"/>
    <w:rsid w:val="77741DDB"/>
    <w:rsid w:val="78450A09"/>
    <w:rsid w:val="7A735F5D"/>
    <w:rsid w:val="7C592878"/>
    <w:rsid w:val="7D4948B1"/>
    <w:rsid w:val="7D685387"/>
    <w:rsid w:val="7DE93D8C"/>
    <w:rsid w:val="7E83695A"/>
    <w:rsid w:val="7F073800"/>
    <w:rsid w:val="7F0D6B9A"/>
    <w:rsid w:val="7F914B6C"/>
    <w:rsid w:val="7FA11C55"/>
    <w:rsid w:val="7FC029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spacing w:beforeAutospacing="1" w:afterAutospacing="1"/>
      <w:jc w:val="left"/>
    </w:pPr>
    <w:rPr>
      <w:kern w:val="0"/>
      <w:sz w:val="24"/>
      <w:szCs w:val="24"/>
    </w:rPr>
  </w:style>
  <w:style w:type="character" w:styleId="8">
    <w:name w:val="FollowedHyperlink"/>
    <w:basedOn w:val="7"/>
    <w:semiHidden/>
    <w:qFormat/>
    <w:uiPriority w:val="99"/>
    <w:rPr>
      <w:rFonts w:cs="Times New Roman"/>
      <w:color w:val="000000"/>
      <w:u w:val="none"/>
    </w:rPr>
  </w:style>
  <w:style w:type="character" w:styleId="9">
    <w:name w:val="Hyperlink"/>
    <w:basedOn w:val="7"/>
    <w:qFormat/>
    <w:uiPriority w:val="99"/>
    <w:rPr>
      <w:rFonts w:cs="Times New Roman"/>
      <w:color w:val="auto"/>
      <w:u w:val="single"/>
    </w:rPr>
  </w:style>
  <w:style w:type="character" w:styleId="10">
    <w:name w:val="HTML Code"/>
    <w:basedOn w:val="7"/>
    <w:semiHidden/>
    <w:qFormat/>
    <w:uiPriority w:val="99"/>
    <w:rPr>
      <w:rFonts w:ascii="Courier New" w:hAnsi="Courier New" w:cs="Courier New"/>
      <w:sz w:val="20"/>
      <w:szCs w:val="20"/>
    </w:rPr>
  </w:style>
  <w:style w:type="character" w:customStyle="1" w:styleId="11">
    <w:name w:val="Balloon Text Char"/>
    <w:basedOn w:val="7"/>
    <w:link w:val="2"/>
    <w:semiHidden/>
    <w:qFormat/>
    <w:locked/>
    <w:uiPriority w:val="99"/>
    <w:rPr>
      <w:rFonts w:cs="Times New Roman"/>
      <w:sz w:val="18"/>
      <w:szCs w:val="18"/>
    </w:rPr>
  </w:style>
  <w:style w:type="character" w:customStyle="1" w:styleId="12">
    <w:name w:val="Footer Char"/>
    <w:basedOn w:val="7"/>
    <w:link w:val="3"/>
    <w:qFormat/>
    <w:locked/>
    <w:uiPriority w:val="99"/>
    <w:rPr>
      <w:rFonts w:cs="Times New Roman"/>
      <w:sz w:val="18"/>
      <w:szCs w:val="18"/>
    </w:rPr>
  </w:style>
  <w:style w:type="character" w:customStyle="1" w:styleId="13">
    <w:name w:val="Header Char"/>
    <w:basedOn w:val="7"/>
    <w:link w:val="4"/>
    <w:qFormat/>
    <w:locked/>
    <w:uiPriority w:val="99"/>
    <w:rPr>
      <w:rFonts w:cs="Times New Roman"/>
      <w:sz w:val="18"/>
      <w:szCs w:val="18"/>
    </w:rPr>
  </w:style>
  <w:style w:type="paragraph" w:styleId="14">
    <w:name w:val="List Paragraph"/>
    <w:basedOn w:val="1"/>
    <w:qFormat/>
    <w:uiPriority w:val="99"/>
    <w:pPr>
      <w:ind w:firstLine="420" w:firstLineChars="200"/>
    </w:pPr>
  </w:style>
  <w:style w:type="paragraph" w:customStyle="1" w:styleId="15">
    <w:name w:val="Char"/>
    <w:basedOn w:val="1"/>
    <w:qFormat/>
    <w:uiPriority w:val="99"/>
    <w:rPr>
      <w:rFonts w:ascii="仿宋_GB2312" w:hAnsi="仿宋_GB2312" w:eastAsia="仿宋_GB2312" w:cs="仿宋_GB2312"/>
      <w:color w:val="000000"/>
      <w:sz w:val="24"/>
      <w:szCs w:val="24"/>
    </w:rPr>
  </w:style>
  <w:style w:type="character" w:customStyle="1" w:styleId="16">
    <w:name w:val="name"/>
    <w:basedOn w:val="7"/>
    <w:qFormat/>
    <w:uiPriority w:val="99"/>
    <w:rPr>
      <w:rFonts w:cs="Times New Roman"/>
      <w:color w:val="auto"/>
      <w:u w:val="single"/>
    </w:rPr>
  </w:style>
  <w:style w:type="character" w:customStyle="1" w:styleId="17">
    <w:name w:val="hover19"/>
    <w:basedOn w:val="7"/>
    <w:qFormat/>
    <w:uiPriority w:val="99"/>
    <w:rPr>
      <w:rFonts w:cs="Times New Roman"/>
      <w:color w:val="auto"/>
    </w:rPr>
  </w:style>
  <w:style w:type="character" w:customStyle="1" w:styleId="18">
    <w:name w:val="m01"/>
    <w:basedOn w:val="7"/>
    <w:qFormat/>
    <w:uiPriority w:val="99"/>
    <w:rPr>
      <w:rFonts w:cs="Times New Roman"/>
    </w:rPr>
  </w:style>
  <w:style w:type="character" w:customStyle="1" w:styleId="19">
    <w:name w:val="m011"/>
    <w:basedOn w:val="7"/>
    <w:qFormat/>
    <w:uiPriority w:val="99"/>
    <w:rPr>
      <w:rFonts w:cs="Times New Roman"/>
    </w:rPr>
  </w:style>
  <w:style w:type="character" w:customStyle="1" w:styleId="20">
    <w:name w:val="dates"/>
    <w:basedOn w:val="7"/>
    <w:qFormat/>
    <w:uiPriority w:val="99"/>
    <w:rPr>
      <w:rFonts w:cs="Times New Roman"/>
    </w:rPr>
  </w:style>
  <w:style w:type="character" w:customStyle="1" w:styleId="21">
    <w:name w:val="tabg"/>
    <w:basedOn w:val="7"/>
    <w:qFormat/>
    <w:uiPriority w:val="99"/>
    <w:rPr>
      <w:rFonts w:cs="Times New Roman"/>
      <w:color w:val="FFFFFF"/>
      <w:sz w:val="27"/>
      <w:szCs w:val="27"/>
    </w:rPr>
  </w:style>
  <w:style w:type="character" w:customStyle="1" w:styleId="22">
    <w:name w:val="bg02"/>
    <w:basedOn w:val="7"/>
    <w:qFormat/>
    <w:uiPriority w:val="99"/>
    <w:rPr>
      <w:rFonts w:cs="Times New Roman"/>
    </w:rPr>
  </w:style>
  <w:style w:type="character" w:customStyle="1" w:styleId="23">
    <w:name w:val="bg01"/>
    <w:basedOn w:val="7"/>
    <w:qFormat/>
    <w:uiPriority w:val="99"/>
    <w:rPr>
      <w:rFonts w:cs="Times New Roman"/>
    </w:rPr>
  </w:style>
  <w:style w:type="character" w:customStyle="1" w:styleId="24">
    <w:name w:val="more4"/>
    <w:basedOn w:val="7"/>
    <w:qFormat/>
    <w:uiPriority w:val="99"/>
    <w:rPr>
      <w:rFonts w:cs="Times New Roman"/>
      <w:color w:val="auto"/>
      <w:sz w:val="18"/>
      <w:szCs w:val="18"/>
    </w:rPr>
  </w:style>
  <w:style w:type="character" w:customStyle="1" w:styleId="25">
    <w:name w:val="font2"/>
    <w:basedOn w:val="7"/>
    <w:qFormat/>
    <w:uiPriority w:val="99"/>
    <w:rPr>
      <w:rFonts w:cs="Times New Roman"/>
    </w:rPr>
  </w:style>
  <w:style w:type="character" w:customStyle="1" w:styleId="26">
    <w:name w:val="font3"/>
    <w:basedOn w:val="7"/>
    <w:qFormat/>
    <w:uiPriority w:val="99"/>
    <w:rPr>
      <w:rFonts w:cs="Times New Roman"/>
    </w:rPr>
  </w:style>
  <w:style w:type="character" w:customStyle="1" w:styleId="27">
    <w:name w:val="laypage_curr"/>
    <w:basedOn w:val="7"/>
    <w:qFormat/>
    <w:uiPriority w:val="99"/>
    <w:rPr>
      <w:rFonts w:cs="Times New Roman"/>
      <w:color w:val="auto"/>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7</Pages>
  <Words>459</Words>
  <Characters>2617</Characters>
  <Lines>0</Lines>
  <Paragraphs>0</Paragraphs>
  <TotalTime>28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2019-12-27T09:00:00Z</dcterms:created>
  <dc:creator>lenveo</dc:creator>
  <cp:lastModifiedBy>Administrator</cp:lastModifiedBy>
  <cp:lastPrinted>2026-01-12T02:44:00Z</cp:lastPrinted>
  <dcterms:modified xsi:type="dcterms:W3CDTF">2026-02-27T07:25:39Z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